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219" w:rsidRPr="00E01219" w:rsidRDefault="00E01219" w:rsidP="00E01219">
      <w:pPr>
        <w:spacing w:before="100" w:after="0" w:line="240" w:lineRule="auto"/>
        <w:jc w:val="right"/>
        <w:rPr>
          <w:rFonts w:ascii="Times New Roman" w:eastAsia="Times New Roman" w:hAnsi="Times New Roman" w:cs="Times New Roman"/>
          <w:color w:val="000000"/>
          <w:sz w:val="27"/>
          <w:szCs w:val="27"/>
          <w:lang w:eastAsia="en-CA"/>
        </w:rPr>
      </w:pPr>
      <w:r>
        <w:rPr>
          <w:rFonts w:ascii="Calibri Light" w:eastAsia="Times New Roman" w:hAnsi="Calibri Light" w:cs="Times New Roman"/>
          <w:b/>
          <w:bCs/>
          <w:noProof/>
          <w:color w:val="000000"/>
          <w:sz w:val="48"/>
          <w:szCs w:val="48"/>
          <w:lang w:eastAsia="en-CA"/>
        </w:rPr>
        <w:drawing>
          <wp:anchor distT="0" distB="0" distL="114300" distR="114300" simplePos="0" relativeHeight="251659264" behindDoc="0" locked="0" layoutInCell="1" allowOverlap="1">
            <wp:simplePos x="0" y="0"/>
            <wp:positionH relativeFrom="column">
              <wp:posOffset>19050</wp:posOffset>
            </wp:positionH>
            <wp:positionV relativeFrom="paragraph">
              <wp:posOffset>47625</wp:posOffset>
            </wp:positionV>
            <wp:extent cx="883920" cy="6705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 cy="670560"/>
                    </a:xfrm>
                    <a:prstGeom prst="rect">
                      <a:avLst/>
                    </a:prstGeom>
                    <a:noFill/>
                  </pic:spPr>
                </pic:pic>
              </a:graphicData>
            </a:graphic>
          </wp:anchor>
        </w:drawing>
      </w:r>
      <w:r w:rsidRPr="00E01219">
        <w:rPr>
          <w:rFonts w:ascii="Calibri Light" w:eastAsia="Times New Roman" w:hAnsi="Calibri Light" w:cs="Times New Roman"/>
          <w:b/>
          <w:bCs/>
          <w:color w:val="000000"/>
          <w:sz w:val="48"/>
          <w:szCs w:val="48"/>
          <w:lang w:eastAsia="en-CA"/>
        </w:rPr>
        <w:t>Fiche de données de sécurité</w:t>
      </w:r>
    </w:p>
    <w:p w:rsidR="00E01219" w:rsidRPr="00E01219" w:rsidRDefault="00E01219" w:rsidP="00E01219">
      <w:pPr>
        <w:spacing w:before="100" w:after="0" w:line="240" w:lineRule="auto"/>
        <w:jc w:val="right"/>
        <w:rPr>
          <w:rFonts w:ascii="Times New Roman" w:eastAsia="Times New Roman" w:hAnsi="Times New Roman" w:cs="Times New Roman"/>
          <w:color w:val="000000"/>
          <w:sz w:val="27"/>
          <w:szCs w:val="27"/>
          <w:lang w:eastAsia="en-CA"/>
        </w:rPr>
      </w:pPr>
      <w:r w:rsidRPr="00E01219">
        <w:rPr>
          <w:rFonts w:ascii="Calibri Light" w:eastAsia="Times New Roman" w:hAnsi="Calibri Light" w:cs="Times New Roman"/>
          <w:b/>
          <w:bCs/>
          <w:color w:val="000000"/>
          <w:sz w:val="36"/>
          <w:szCs w:val="36"/>
          <w:lang w:eastAsia="en-CA"/>
        </w:rPr>
        <w:t>SEL</w:t>
      </w:r>
      <w:r w:rsidRPr="00E01219">
        <w:rPr>
          <w:rFonts w:ascii="Times New Roman" w:eastAsia="Times New Roman" w:hAnsi="Times New Roman" w:cs="Times New Roman"/>
          <w:color w:val="000000"/>
          <w:sz w:val="27"/>
          <w:szCs w:val="27"/>
          <w:lang w:eastAsia="en-CA"/>
        </w:rPr>
        <w:t> </w:t>
      </w:r>
      <w:proofErr w:type="gramStart"/>
      <w:r w:rsidRPr="00E01219">
        <w:rPr>
          <w:rFonts w:ascii="Calibri Light" w:eastAsia="Times New Roman" w:hAnsi="Calibri Light" w:cs="Times New Roman"/>
          <w:b/>
          <w:bCs/>
          <w:color w:val="000000"/>
          <w:sz w:val="36"/>
          <w:szCs w:val="36"/>
          <w:lang w:eastAsia="en-CA"/>
        </w:rPr>
        <w:t>(</w:t>
      </w:r>
      <w:r w:rsidRPr="00E01219">
        <w:rPr>
          <w:rFonts w:ascii="Times New Roman" w:eastAsia="Times New Roman" w:hAnsi="Times New Roman" w:cs="Times New Roman"/>
          <w:color w:val="000000"/>
          <w:sz w:val="27"/>
          <w:szCs w:val="27"/>
          <w:lang w:eastAsia="en-CA"/>
        </w:rPr>
        <w:t> </w:t>
      </w:r>
      <w:r w:rsidRPr="00E01219">
        <w:rPr>
          <w:rFonts w:ascii="Calibri Light" w:eastAsia="Times New Roman" w:hAnsi="Calibri Light" w:cs="Times New Roman"/>
          <w:b/>
          <w:bCs/>
          <w:color w:val="000000"/>
          <w:sz w:val="36"/>
          <w:szCs w:val="36"/>
          <w:lang w:eastAsia="en-CA"/>
        </w:rPr>
        <w:t>Chlorure</w:t>
      </w:r>
      <w:proofErr w:type="gramEnd"/>
      <w:r w:rsidRPr="00E01219">
        <w:rPr>
          <w:rFonts w:ascii="Calibri Light" w:eastAsia="Times New Roman" w:hAnsi="Calibri Light" w:cs="Times New Roman"/>
          <w:b/>
          <w:bCs/>
          <w:color w:val="000000"/>
          <w:sz w:val="36"/>
          <w:szCs w:val="36"/>
          <w:lang w:eastAsia="en-CA"/>
        </w:rPr>
        <w:t xml:space="preserve"> de sodium</w:t>
      </w:r>
      <w:r w:rsidRPr="00E01219">
        <w:rPr>
          <w:rFonts w:ascii="Times New Roman" w:eastAsia="Times New Roman" w:hAnsi="Times New Roman" w:cs="Times New Roman"/>
          <w:color w:val="000000"/>
          <w:sz w:val="27"/>
          <w:szCs w:val="27"/>
          <w:lang w:eastAsia="en-CA"/>
        </w:rPr>
        <w:t> </w:t>
      </w:r>
      <w:r w:rsidRPr="00E01219">
        <w:rPr>
          <w:rFonts w:ascii="Calibri Light" w:eastAsia="Times New Roman" w:hAnsi="Calibri Light" w:cs="Times New Roman"/>
          <w:b/>
          <w:bCs/>
          <w:color w:val="000000"/>
          <w:sz w:val="36"/>
          <w:szCs w:val="36"/>
          <w:lang w:eastAsia="en-CA"/>
        </w:rPr>
        <w:t>)</w:t>
      </w:r>
    </w:p>
    <w:tbl>
      <w:tblPr>
        <w:tblW w:w="9936" w:type="dxa"/>
        <w:tblCellMar>
          <w:left w:w="0" w:type="dxa"/>
          <w:right w:w="0" w:type="dxa"/>
        </w:tblCellMar>
        <w:tblLook w:val="04A0" w:firstRow="1" w:lastRow="0" w:firstColumn="1" w:lastColumn="0" w:noHBand="0" w:noVBand="1"/>
      </w:tblPr>
      <w:tblGrid>
        <w:gridCol w:w="2135"/>
        <w:gridCol w:w="212"/>
        <w:gridCol w:w="443"/>
        <w:gridCol w:w="3329"/>
        <w:gridCol w:w="3231"/>
        <w:gridCol w:w="586"/>
      </w:tblGrid>
      <w:tr w:rsidR="00E01219" w:rsidRPr="00E01219" w:rsidTr="00E01219">
        <w:tc>
          <w:tcPr>
            <w:tcW w:w="9350" w:type="dxa"/>
            <w:gridSpan w:val="5"/>
            <w:shd w:val="clear" w:color="auto" w:fill="C5E0B3"/>
            <w:tcMar>
              <w:top w:w="0" w:type="dxa"/>
              <w:left w:w="108" w:type="dxa"/>
              <w:bottom w:w="0" w:type="dxa"/>
              <w:right w:w="108" w:type="dxa"/>
            </w:tcMar>
            <w:vAlign w:val="center"/>
            <w:hideMark/>
          </w:tcPr>
          <w:p w:rsidR="00E01219" w:rsidRPr="00E01219" w:rsidRDefault="00E01219" w:rsidP="00E01219">
            <w:pPr>
              <w:spacing w:before="100" w:after="0" w:line="253" w:lineRule="atLeast"/>
              <w:rPr>
                <w:rFonts w:ascii="Times New Roman" w:eastAsia="Times New Roman" w:hAnsi="Times New Roman" w:cs="Times New Roman"/>
                <w:lang w:eastAsia="en-CA"/>
              </w:rPr>
            </w:pPr>
            <w:r w:rsidRPr="00E01219">
              <w:rPr>
                <w:rFonts w:ascii="Calibri Light" w:eastAsia="Times New Roman" w:hAnsi="Calibri Light" w:cs="Times New Roman"/>
                <w:b/>
                <w:bCs/>
                <w:lang w:eastAsia="en-CA"/>
              </w:rPr>
              <w:t>SECTION 1. IDENTIFICATION</w:t>
            </w:r>
          </w:p>
        </w:tc>
        <w:tc>
          <w:tcPr>
            <w:tcW w:w="0" w:type="auto"/>
            <w:hideMark/>
          </w:tcPr>
          <w:p w:rsidR="00E01219" w:rsidRPr="00E01219" w:rsidRDefault="00E01219" w:rsidP="00E01219">
            <w:pPr>
              <w:spacing w:after="0" w:line="240" w:lineRule="auto"/>
              <w:rPr>
                <w:rFonts w:ascii="Times New Roman" w:eastAsia="Times New Roman" w:hAnsi="Times New Roman" w:cs="Times New Roman"/>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Étiquette d'un produit</w:t>
            </w:r>
          </w:p>
        </w:tc>
        <w:tc>
          <w:tcPr>
            <w:tcW w:w="7215" w:type="dxa"/>
            <w:gridSpan w:val="4"/>
            <w:tcMar>
              <w:top w:w="0" w:type="dxa"/>
              <w:left w:w="108" w:type="dxa"/>
              <w:bottom w:w="0" w:type="dxa"/>
              <w:right w:w="108" w:type="dxa"/>
            </w:tcMa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Sel</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Autres moyens d'identification</w:t>
            </w:r>
          </w:p>
        </w:tc>
        <w:tc>
          <w:tcPr>
            <w:tcW w:w="7215" w:type="dxa"/>
            <w:gridSpan w:val="4"/>
            <w:tcMar>
              <w:top w:w="0" w:type="dxa"/>
              <w:left w:w="108" w:type="dxa"/>
              <w:bottom w:w="0" w:type="dxa"/>
              <w:right w:w="108" w:type="dxa"/>
            </w:tcMa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Chlorure de sodium, sel brut, sel de déglaçage, sel adoucissant, sel alimentaire, sel industriel, sel de peau, Rocanville grossier, Rocanville Standard, Rocanville Fine, Vanscoy grossier, Vanscoy Standard, Sel de bain, Exfoliant, Ice Biter, SALTZ TOUS Gros sel, sel fin</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Utilisation recommandée</w:t>
            </w:r>
          </w:p>
        </w:tc>
        <w:tc>
          <w:tcPr>
            <w:tcW w:w="7215" w:type="dxa"/>
            <w:gridSpan w:val="4"/>
            <w:tcMar>
              <w:top w:w="0" w:type="dxa"/>
              <w:left w:w="108" w:type="dxa"/>
              <w:bottom w:w="0" w:type="dxa"/>
              <w:right w:w="108" w:type="dxa"/>
            </w:tcMa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pacing w:val="-1"/>
                <w:sz w:val="20"/>
                <w:szCs w:val="20"/>
                <w:lang w:eastAsia="en-CA"/>
              </w:rPr>
              <w:t>Industriel, De-Icer, Alimentation, Cacher, Adoucissement de l'eau, Sel de bain</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Restrictions d'utilisation</w:t>
            </w:r>
          </w:p>
        </w:tc>
        <w:tc>
          <w:tcPr>
            <w:tcW w:w="7215" w:type="dxa"/>
            <w:gridSpan w:val="4"/>
            <w:tcMar>
              <w:top w:w="0" w:type="dxa"/>
              <w:left w:w="108" w:type="dxa"/>
              <w:bottom w:w="0" w:type="dxa"/>
              <w:right w:w="108" w:type="dxa"/>
            </w:tcMa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Pas pour l'ingestion</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 </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Identifiant initial du fournisseur</w:t>
            </w:r>
          </w:p>
        </w:tc>
        <w:tc>
          <w:tcPr>
            <w:tcW w:w="7215" w:type="dxa"/>
            <w:gridSpan w:val="4"/>
            <w:tcMar>
              <w:top w:w="0" w:type="dxa"/>
              <w:left w:w="108" w:type="dxa"/>
              <w:bottom w:w="0" w:type="dxa"/>
              <w:right w:w="108" w:type="dxa"/>
            </w:tcMa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NSC Minerals Ltd.</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2241 Speers Ave</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Saskatoon, SK</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CANADA</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S7L 5X6</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hyperlink r:id="rId7" w:history="1">
              <w:r w:rsidRPr="00E01219">
                <w:rPr>
                  <w:rFonts w:ascii="Calibri Light" w:eastAsia="Times New Roman" w:hAnsi="Calibri Light" w:cs="Times New Roman"/>
                  <w:color w:val="0563C1"/>
                  <w:sz w:val="20"/>
                  <w:szCs w:val="20"/>
                  <w:u w:val="single"/>
                  <w:lang w:eastAsia="en-CA"/>
                </w:rPr>
                <w:t>www.nscminerals.com</w:t>
              </w:r>
            </w:hyperlink>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Email:</w:t>
            </w:r>
            <w:r w:rsidRPr="00E01219">
              <w:rPr>
                <w:rFonts w:ascii="Times New Roman" w:eastAsia="Times New Roman" w:hAnsi="Times New Roman" w:cs="Times New Roman"/>
                <w:sz w:val="24"/>
                <w:szCs w:val="24"/>
                <w:lang w:eastAsia="en-CA"/>
              </w:rPr>
              <w:t> </w:t>
            </w:r>
            <w:hyperlink r:id="rId8" w:history="1">
              <w:r w:rsidRPr="00E01219">
                <w:rPr>
                  <w:rFonts w:ascii="Calibri Light" w:eastAsia="Times New Roman" w:hAnsi="Calibri Light" w:cs="Times New Roman"/>
                  <w:color w:val="0563C1"/>
                  <w:sz w:val="20"/>
                  <w:szCs w:val="20"/>
                  <w:u w:val="single"/>
                  <w:lang w:eastAsia="en-CA"/>
                </w:rPr>
                <w:t>nsc@nscminerals.com</w:t>
              </w:r>
            </w:hyperlink>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 </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Numéro d'urgence</w:t>
            </w:r>
          </w:p>
        </w:tc>
        <w:tc>
          <w:tcPr>
            <w:tcW w:w="7215" w:type="dxa"/>
            <w:gridSpan w:val="4"/>
            <w:tcMar>
              <w:top w:w="0" w:type="dxa"/>
              <w:left w:w="108" w:type="dxa"/>
              <w:bottom w:w="0" w:type="dxa"/>
              <w:right w:w="108" w:type="dxa"/>
            </w:tcMa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1-306-934-6477 / 1-888-668-7258</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9350" w:type="dxa"/>
            <w:gridSpan w:val="5"/>
            <w:shd w:val="clear" w:color="auto" w:fill="C5E0B3"/>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SECTION 2. IDENTIFICATION DES DANGERS</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0"/>
                <w:szCs w:val="20"/>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Classification</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Non classé comme substance ou mélange dangereux selon le Système Général Harmonisé (SGH)</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Éléments d'étiquetage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Garder hors de la portée des enfants.</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Nocif en cas d'ingestion.</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Évitez les contractions cutanées et oculaires.</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Étiquette Autre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Pictogrammes et mots d'avertissement non applicables.</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Autres dangers</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 </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9350" w:type="dxa"/>
            <w:gridSpan w:val="5"/>
            <w:shd w:val="clear" w:color="auto" w:fill="C5E0B3"/>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SECTION 3. COMPOSITION / INFORMATION SUR LES INGRÉDIENTS</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0"/>
                <w:szCs w:val="20"/>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Nom commun / Synonymes</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sz w:val="20"/>
                <w:szCs w:val="20"/>
                <w:lang w:eastAsia="en-CA"/>
              </w:rPr>
              <w:t>Sel, Chlorure de sodium, N</w:t>
            </w:r>
            <w:r w:rsidRPr="00E01219">
              <w:rPr>
                <w:rFonts w:ascii="Times New Roman" w:eastAsia="Times New Roman" w:hAnsi="Times New Roman" w:cs="Times New Roman"/>
                <w:sz w:val="20"/>
                <w:szCs w:val="20"/>
                <w:lang w:eastAsia="en-CA"/>
              </w:rPr>
              <w:t> </w:t>
            </w:r>
            <w:r w:rsidRPr="00E01219">
              <w:rPr>
                <w:rFonts w:ascii="Calibri Light" w:eastAsia="Times New Roman" w:hAnsi="Calibri Light" w:cs="Times New Roman"/>
                <w:sz w:val="20"/>
                <w:szCs w:val="20"/>
                <w:lang w:eastAsia="en-CA"/>
              </w:rPr>
              <w:t>a</w:t>
            </w:r>
            <w:r w:rsidRPr="00E01219">
              <w:rPr>
                <w:rFonts w:ascii="Times New Roman" w:eastAsia="Times New Roman" w:hAnsi="Times New Roman" w:cs="Times New Roman"/>
                <w:sz w:val="20"/>
                <w:szCs w:val="20"/>
                <w:lang w:eastAsia="en-CA"/>
              </w:rPr>
              <w:t> </w:t>
            </w:r>
            <w:r w:rsidRPr="00E01219">
              <w:rPr>
                <w:rFonts w:ascii="Calibri Light" w:eastAsia="Times New Roman" w:hAnsi="Calibri Light" w:cs="Times New Roman"/>
                <w:sz w:val="20"/>
                <w:szCs w:val="20"/>
                <w:lang w:eastAsia="en-CA"/>
              </w:rPr>
              <w:t>Cl, Sel brut, Sel de déglaçage, Rocanville grossier</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0"/>
                <w:szCs w:val="20"/>
                <w:lang w:eastAsia="en-CA"/>
              </w:rPr>
            </w:pPr>
          </w:p>
        </w:tc>
      </w:tr>
      <w:tr w:rsidR="00E01219" w:rsidRPr="00E01219" w:rsidTr="00E01219">
        <w:tc>
          <w:tcPr>
            <w:tcW w:w="2347" w:type="dxa"/>
            <w:gridSpan w:val="2"/>
            <w:tcBorders>
              <w:bottom w:val="single" w:sz="6" w:space="0" w:color="000000"/>
            </w:tcBorders>
            <w:shd w:val="clear" w:color="auto" w:fill="E2EFD9"/>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18"/>
                <w:szCs w:val="18"/>
                <w:lang w:eastAsia="en-CA"/>
              </w:rPr>
              <w:t>NOM DES INGREDIENTS</w:t>
            </w:r>
          </w:p>
        </w:tc>
        <w:tc>
          <w:tcPr>
            <w:tcW w:w="3772" w:type="dxa"/>
            <w:gridSpan w:val="2"/>
            <w:tcBorders>
              <w:bottom w:val="single" w:sz="6" w:space="0" w:color="000000"/>
            </w:tcBorders>
            <w:shd w:val="clear" w:color="auto" w:fill="E2EFD9"/>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18"/>
                <w:szCs w:val="18"/>
                <w:lang w:eastAsia="en-CA"/>
              </w:rPr>
              <w:t>% (W / W)</w:t>
            </w:r>
          </w:p>
        </w:tc>
        <w:tc>
          <w:tcPr>
            <w:tcW w:w="3817" w:type="dxa"/>
            <w:gridSpan w:val="2"/>
            <w:tcBorders>
              <w:bottom w:val="single" w:sz="6" w:space="0" w:color="000000"/>
            </w:tcBorders>
            <w:shd w:val="clear" w:color="auto" w:fill="E2EFD9"/>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18"/>
                <w:szCs w:val="18"/>
                <w:lang w:eastAsia="en-CA"/>
              </w:rPr>
              <w:t>N ° CAS.</w:t>
            </w:r>
          </w:p>
        </w:tc>
      </w:tr>
      <w:tr w:rsidR="00E01219" w:rsidRPr="00E01219" w:rsidTr="00E01219">
        <w:tc>
          <w:tcPr>
            <w:tcW w:w="23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Chlorure de sodium</w:t>
            </w:r>
          </w:p>
        </w:tc>
        <w:tc>
          <w:tcPr>
            <w:tcW w:w="37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Indisponible</w:t>
            </w:r>
          </w:p>
        </w:tc>
        <w:tc>
          <w:tcPr>
            <w:tcW w:w="38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7647-14-5</w:t>
            </w:r>
          </w:p>
        </w:tc>
      </w:tr>
      <w:tr w:rsidR="00E01219" w:rsidRPr="00E01219" w:rsidTr="00E01219">
        <w:tc>
          <w:tcPr>
            <w:tcW w:w="9936" w:type="dxa"/>
            <w:gridSpan w:val="6"/>
            <w:tcBorders>
              <w:top w:val="single" w:sz="6" w:space="0" w:color="000000"/>
            </w:tcBorders>
            <w:tcMar>
              <w:top w:w="0" w:type="dxa"/>
              <w:left w:w="108" w:type="dxa"/>
              <w:bottom w:w="0" w:type="dxa"/>
              <w:right w:w="108" w:type="dxa"/>
            </w:tcMa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i/>
                <w:iCs/>
                <w:sz w:val="18"/>
                <w:szCs w:val="18"/>
                <w:lang w:eastAsia="en-CA"/>
              </w:rPr>
              <w:t>Toute concentration indiquée en tant que plage est destinée à protéger la confidentialité ou est due à une variation de lot.</w:t>
            </w:r>
          </w:p>
        </w:tc>
      </w:tr>
      <w:tr w:rsidR="00E01219" w:rsidRPr="00E01219" w:rsidTr="00E01219">
        <w:tc>
          <w:tcPr>
            <w:tcW w:w="9936" w:type="dxa"/>
            <w:gridSpan w:val="6"/>
            <w:tcMar>
              <w:top w:w="0" w:type="dxa"/>
              <w:left w:w="108" w:type="dxa"/>
              <w:bottom w:w="0" w:type="dxa"/>
              <w:right w:w="108" w:type="dxa"/>
            </w:tcMa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18"/>
                <w:szCs w:val="18"/>
                <w:lang w:eastAsia="en-CA"/>
              </w:rPr>
              <w:t>Il n'y a pas d'autres ingrédients présents qui, compte tenu des connaissances actuelles du fournisseur et des concentrations applicables, sont classés comme dangereux pour la santé ou l'environnement et requièrent donc une déclaration dans cette section.</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18"/>
                <w:szCs w:val="18"/>
                <w:lang w:eastAsia="en-CA"/>
              </w:rPr>
              <w:t>Les limites d'exposition professionnelle, si elles sont disponibles, sont énumérées à la section 8.</w:t>
            </w: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Autres identifiants</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sz w:val="20"/>
                <w:szCs w:val="20"/>
                <w:lang w:eastAsia="en-CA"/>
              </w:rPr>
              <w:t>Respectueux de la nature</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0"/>
                <w:szCs w:val="20"/>
                <w:lang w:eastAsia="en-CA"/>
              </w:rPr>
            </w:pPr>
          </w:p>
        </w:tc>
      </w:tr>
      <w:tr w:rsidR="00E01219" w:rsidRPr="00E01219" w:rsidTr="00E01219">
        <w:tc>
          <w:tcPr>
            <w:tcW w:w="9350" w:type="dxa"/>
            <w:gridSpan w:val="5"/>
            <w:shd w:val="clear" w:color="auto" w:fill="C5E0B3"/>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SECTION 4. MESURES DE PREMIERS SECOURS</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0"/>
                <w:szCs w:val="20"/>
                <w:lang w:eastAsia="en-CA"/>
              </w:rPr>
            </w:pPr>
          </w:p>
        </w:tc>
      </w:tr>
      <w:tr w:rsidR="00E01219" w:rsidRPr="00E01219" w:rsidTr="00E01219">
        <w:tc>
          <w:tcPr>
            <w:tcW w:w="9350" w:type="dxa"/>
            <w:gridSpan w:val="5"/>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t>4.1 PREMIERS SOINS PAR VOIE D'EXPOSITION</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18"/>
                <w:szCs w:val="18"/>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Général</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ind w:right="165"/>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Si un avis médical est nécessaire, avoir à portée de main le contenant ou l'étiquette du produit.</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Inhalation</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ind w:right="165"/>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En cas d'inhalation, transporter la victime à l'extérieur et la maintenir au repos dans une position où elle peut confortablement respirer.</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 xml:space="preserve">Donner de l'oxygène ou de la </w:t>
            </w:r>
            <w:r w:rsidRPr="00E01219">
              <w:rPr>
                <w:rFonts w:ascii="Calibri Light" w:eastAsia="Times New Roman" w:hAnsi="Calibri Light" w:cs="Times New Roman"/>
                <w:sz w:val="20"/>
                <w:szCs w:val="20"/>
                <w:lang w:eastAsia="en-CA"/>
              </w:rPr>
              <w:lastRenderedPageBreak/>
              <w:t>respiration artificielle si nécessaire.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Consulter un médecin si la difficulté à respirer persiste.</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Contact avec la peau</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ind w:right="165"/>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Laver soigneusement la peau avec un savon doux et de l'eau.</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Consulter un médecin si une irritation se développe ou persiste.</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Lentilles de contact             </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ind w:right="165"/>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Rincer immédiatement à l'eau pendant une période prolongée (15 minutes) tout en maintenant les paupières grandes ouvertes, y compris les paupières supérieures et inférieures.</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Consulter un médecin si la douleur et l'irritation se développent ou persistent.</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Ingestion</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ind w:right="165"/>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Ne pas faire vomir.</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Administrer de l'eau si le patient est conscient.</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L'ingestion de sel provoquera généralement une purge de l'estomac en vomissant.</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Consulter un médecin si une grande quantité est avalée.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Consulter un médecin si vous ne vous sentez pas bien.</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9350" w:type="dxa"/>
            <w:gridSpan w:val="5"/>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t>4.2 SYMPTÔMES ET EFFETS LES PLUS IMPORTANTS, À LA FOIS AIGUS ET RETARDÉS</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18"/>
                <w:szCs w:val="18"/>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Symptômes / blessures</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Irritation aux yeux, à la peau et aux voies respiratoires.</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Symptômes / blessures après inhalation</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La surexposition peut être irritante pour le système respiratoire.</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Symptômes / blessures après contact avec la peau</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Peut causer une irritation de la peau.</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Symptômes / lésions après contact avec les yeux</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Peut provoquer une irritation des yeux.</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Symptômes / blessures après l'ingestion</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Si une grande quantité a été ingérée: douleur abdominale;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La diarrhée;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La nausée;Vomissement;</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Picotements dans les mains et les pieds;</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Pouls faible;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Troubles circulatoires</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Symptômes chroniques</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L'inhalation prolongée de poussières peut provoquer une irritation des voies respiratoires.</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9350" w:type="dxa"/>
            <w:gridSpan w:val="5"/>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t>4.3 INDICATION DE TOUTE ATTENTION MÉDICALE IMMÉDIATE ET TRAITEMENT SPÉCIAL NÉCESSAIRE</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18"/>
                <w:szCs w:val="18"/>
                <w:lang w:eastAsia="en-CA"/>
              </w:rPr>
            </w:pPr>
          </w:p>
        </w:tc>
      </w:tr>
      <w:tr w:rsidR="00E01219" w:rsidRPr="00E01219" w:rsidTr="00E01219">
        <w:tc>
          <w:tcPr>
            <w:tcW w:w="9350" w:type="dxa"/>
            <w:gridSpan w:val="5"/>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Aucune information supplémentaire</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9350" w:type="dxa"/>
            <w:gridSpan w:val="5"/>
            <w:shd w:val="clear" w:color="auto" w:fill="C5E0B3"/>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SECTION 5. MESURE DE LUTTE CONTRE L'INCENDIE</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0"/>
                <w:szCs w:val="20"/>
                <w:lang w:eastAsia="en-CA"/>
              </w:rPr>
            </w:pPr>
          </w:p>
        </w:tc>
      </w:tr>
      <w:tr w:rsidR="00E01219" w:rsidRPr="00E01219" w:rsidTr="00E01219">
        <w:tc>
          <w:tcPr>
            <w:tcW w:w="9350" w:type="dxa"/>
            <w:gridSpan w:val="5"/>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t>5.1 SUPPORTS D'EXTINCTION</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18"/>
                <w:szCs w:val="18"/>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Moyens d'extinction appropriés</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Ininflammable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Utiliser un moyen d'extinction approprié pour le feu environnant.</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Moyens d'extinction inappropriés</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Aucun connu</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9350" w:type="dxa"/>
            <w:gridSpan w:val="5"/>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t>5.2 DANGERS SPÉCIFIQUES DÉCOULANT DU PRODUIT</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18"/>
                <w:szCs w:val="18"/>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Risque d'incendie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En cas d'incendie, cette matière peut produire des fumées toxiques.</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Risque d'explosion</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Le produit n'est pas explosif</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Réactivité</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Stable à température ambiante et dans des conditions normales d'utilisation.</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9350" w:type="dxa"/>
            <w:gridSpan w:val="5"/>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t>5.3 ÉQUIPEMENT DE PROTECTION SPÉCIAL ET PRÉCAUTIONS POUR LES CHASSEURS D'INCENDIE</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18"/>
                <w:szCs w:val="18"/>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Instructions de lutte contre l'incendie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Gardez le vent debout.</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Dans des conditions de feu, cette matière peut produire: des oxydes de potassium;</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Chlorure d'hydrogène;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Chlore gazeux</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lastRenderedPageBreak/>
              <w:t>Protection pendant la lutte contre l'incendie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Portez un équipement complet de lutte contre les incendies (équipement Bunker complet) et une protection respiratoire (SCBA).</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les autres informations</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doivent</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pas tous</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s'échapper</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du feu pour entrer dans les égouts ou les cours d'eau.</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9350" w:type="dxa"/>
            <w:gridSpan w:val="5"/>
            <w:shd w:val="clear" w:color="auto" w:fill="C5E0B3"/>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SECTION 6. MESURE DE REJET ACCIDENTEL</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0"/>
                <w:szCs w:val="20"/>
                <w:lang w:eastAsia="en-CA"/>
              </w:rPr>
            </w:pPr>
          </w:p>
        </w:tc>
      </w:tr>
      <w:tr w:rsidR="00E01219" w:rsidRPr="00E01219" w:rsidTr="00E01219">
        <w:tc>
          <w:tcPr>
            <w:tcW w:w="9350" w:type="dxa"/>
            <w:gridSpan w:val="5"/>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t>6.1 PRÉCAUTIONS PERSONNELLES, ÉQUIPEMENT DE PROTECTION ET PROCÉDURES D'URGENCE</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18"/>
                <w:szCs w:val="18"/>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ind w:left="62"/>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Mesures générales</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Ne pas respirer les fumées des incendies ou des vapeurs de décomposition</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ind w:left="62"/>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Équipement de protection pour le personnel d'urgence et non urgent</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Porter des vêtements de protection appropriés, des gants et une protection pour les yeux / le visage, y compris des lunettes étanches dans les zones à forte concentration de poussière.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Porter un équipement de protection respiratoire approuvé par le NIOSH lorsque les conditions de travail justifient l'utilisation d'un respirateur.</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tcMar>
              <w:top w:w="0" w:type="dxa"/>
              <w:left w:w="108" w:type="dxa"/>
              <w:bottom w:w="0" w:type="dxa"/>
              <w:right w:w="108" w:type="dxa"/>
            </w:tcMar>
            <w:hideMark/>
          </w:tcPr>
          <w:p w:rsidR="00E01219" w:rsidRPr="00E01219" w:rsidRDefault="00E01219" w:rsidP="00E01219">
            <w:pPr>
              <w:spacing w:before="100" w:after="0" w:line="240" w:lineRule="auto"/>
              <w:ind w:left="62"/>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Procédures d'urgence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Si possible, arrêtez l'écoulement du produit.</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Contenir et collecter comme tout solide.Ventiler la zone.</w:t>
            </w:r>
          </w:p>
        </w:tc>
        <w:tc>
          <w:tcPr>
            <w:tcW w:w="0" w:type="auto"/>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rPr>
          <w:gridAfter w:val="1"/>
          <w:wAfter w:w="586" w:type="dxa"/>
        </w:trPr>
        <w:tc>
          <w:tcPr>
            <w:tcW w:w="9350" w:type="dxa"/>
            <w:gridSpan w:val="5"/>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t>6.2 PRÉCAUTIONS ENVIRONNEMENTALES</w:t>
            </w:r>
          </w:p>
        </w:tc>
      </w:tr>
      <w:tr w:rsidR="00E01219" w:rsidRPr="00E01219" w:rsidTr="00E01219">
        <w:trPr>
          <w:gridAfter w:val="1"/>
          <w:wAfter w:w="586" w:type="dxa"/>
        </w:trPr>
        <w:tc>
          <w:tcPr>
            <w:tcW w:w="9350" w:type="dxa"/>
            <w:gridSpan w:val="5"/>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Si le déversement peut éventuellement pénétrer dans une voie navigable, y compris dans les ruisseaux secs intermittents, communiquez avec le CENTRE NATIONAL DE RÉPONSE DE LA GARDE-CÔTIÈRE DES ÉTATS-UNIS au 800-424-8802.</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En cas d'accident ou de déversement sur la route, aviser CHEMTREC au 800</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424</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9300 (aux États-Unis) ou à CANUTEC au 613-996-6666 (au Canada).</w:t>
            </w:r>
            <w:r w:rsidRPr="00E01219">
              <w:rPr>
                <w:rFonts w:ascii="Times New Roman" w:eastAsia="Times New Roman" w:hAnsi="Times New Roman" w:cs="Times New Roman"/>
                <w:sz w:val="24"/>
                <w:szCs w:val="24"/>
                <w:lang w:eastAsia="en-CA"/>
              </w:rPr>
              <w:t> </w:t>
            </w:r>
            <w:proofErr w:type="gramStart"/>
            <w:r w:rsidRPr="00E01219">
              <w:rPr>
                <w:rFonts w:ascii="Calibri Light" w:eastAsia="Times New Roman" w:hAnsi="Calibri Light" w:cs="Times New Roman"/>
                <w:sz w:val="20"/>
                <w:szCs w:val="20"/>
                <w:lang w:eastAsia="en-CA"/>
              </w:rPr>
              <w:t>Dans</w:t>
            </w:r>
            <w:proofErr w:type="gramEnd"/>
            <w:r w:rsidRPr="00E01219">
              <w:rPr>
                <w:rFonts w:ascii="Calibri Light" w:eastAsia="Times New Roman" w:hAnsi="Calibri Light" w:cs="Times New Roman"/>
                <w:sz w:val="20"/>
                <w:szCs w:val="20"/>
                <w:lang w:eastAsia="en-CA"/>
              </w:rPr>
              <w:t xml:space="preserve"> les autres pays, appelez CHEMTREC à (code international) + 1-703-527-3887.</w:t>
            </w:r>
          </w:p>
        </w:tc>
      </w:tr>
      <w:tr w:rsidR="00E01219" w:rsidRPr="00E01219" w:rsidTr="00E01219">
        <w:trPr>
          <w:gridAfter w:val="1"/>
          <w:wAfter w:w="586" w:type="dxa"/>
        </w:trPr>
        <w:tc>
          <w:tcPr>
            <w:tcW w:w="9350" w:type="dxa"/>
            <w:gridSpan w:val="5"/>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t>6.3 MÉTHODES ET MATÉRIEL DE CONFINEMENT ET DE NETTOYAGE</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ind w:left="62"/>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Pour le confinement</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Contenir et collecter comme tout solide.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Ne pas laisser dans les égouts ou les cours d'eau ou les éliminer là où les eaux souterraines ou de surface peuvent être affectées.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ind w:left="62"/>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Méthodes de nettoyage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Récupérez le produit en passant l'aspirateur, en le pelletant ou en le balayant.</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Éviter la génération de poussière pendant le nettoyage des déversements.</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S'il n'est pas contaminé, le récupérer et le réutiliser comme produit.</w:t>
            </w:r>
          </w:p>
        </w:tc>
      </w:tr>
      <w:tr w:rsidR="00E01219" w:rsidRPr="00E01219" w:rsidTr="00E01219">
        <w:trPr>
          <w:gridAfter w:val="1"/>
          <w:wAfter w:w="586" w:type="dxa"/>
        </w:trPr>
        <w:tc>
          <w:tcPr>
            <w:tcW w:w="9350" w:type="dxa"/>
            <w:gridSpan w:val="5"/>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t>6.4 RÉFÉRENCE À D'AUTRES SECTIONS</w:t>
            </w:r>
          </w:p>
        </w:tc>
      </w:tr>
      <w:tr w:rsidR="00E01219" w:rsidRPr="00E01219" w:rsidTr="00E01219">
        <w:trPr>
          <w:gridAfter w:val="1"/>
          <w:wAfter w:w="586" w:type="dxa"/>
        </w:trPr>
        <w:tc>
          <w:tcPr>
            <w:tcW w:w="9350" w:type="dxa"/>
            <w:gridSpan w:val="5"/>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Aucune information supplémentaire disponible.</w:t>
            </w:r>
          </w:p>
        </w:tc>
      </w:tr>
      <w:tr w:rsidR="00E01219" w:rsidRPr="00E01219" w:rsidTr="00E01219">
        <w:trPr>
          <w:gridAfter w:val="1"/>
          <w:wAfter w:w="586" w:type="dxa"/>
        </w:trPr>
        <w:tc>
          <w:tcPr>
            <w:tcW w:w="9350" w:type="dxa"/>
            <w:gridSpan w:val="5"/>
            <w:shd w:val="clear" w:color="auto" w:fill="C5E0B3"/>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SECTION 7. MANIPULATION ET STOCKAGE</w:t>
            </w:r>
          </w:p>
        </w:tc>
      </w:tr>
      <w:tr w:rsidR="00E01219" w:rsidRPr="00E01219" w:rsidTr="00E01219">
        <w:trPr>
          <w:gridAfter w:val="1"/>
          <w:wAfter w:w="586" w:type="dxa"/>
        </w:trPr>
        <w:tc>
          <w:tcPr>
            <w:tcW w:w="9350" w:type="dxa"/>
            <w:gridSpan w:val="5"/>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t>7.1 PRÉCAUTIONS DE MANIPULATION SÉCURITAIRE</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Dangers supplémentaires lors du traitement:</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Lorsqu'il est chauffé, le matériau émet des fumées irritantes.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Précautions à prendre pour une manipulation sans danger:</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Manipuler conformément aux bonnes procédures d'hygiène industrielle et de sécurité.</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Eviter le contact avec la peau et les yeux.</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Ne pas manger, boire ou fumer en utilisant ce produit.</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Lavez-vous toujours les mains après avoir manipulé le produit.</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Mesures d'hygiène: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Des fontaines d'urgence pour le lavage des yeux doivent être disponibles à proximité immédiate de toute exposition potentielle.</w:t>
            </w:r>
          </w:p>
        </w:tc>
      </w:tr>
      <w:tr w:rsidR="00E01219" w:rsidRPr="00E01219" w:rsidTr="00E01219">
        <w:trPr>
          <w:gridAfter w:val="1"/>
          <w:wAfter w:w="586" w:type="dxa"/>
        </w:trPr>
        <w:tc>
          <w:tcPr>
            <w:tcW w:w="9350" w:type="dxa"/>
            <w:gridSpan w:val="5"/>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t>7.2 CONDITIONS DE STOCKAGE SÛR</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Conditions de stockage: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Conserver hermétiquement fermé dans un endroit sec, frais et bien ventilé</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.Protéger de l'humidité et de préférence en dessous de 70% d'humidité relative.</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Règles spéciales sur l'emballage: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Éviter tout contact avec de l'aluminium ou de l'acier au carbone pour minimiser la corrosion.</w:t>
            </w:r>
          </w:p>
        </w:tc>
      </w:tr>
      <w:tr w:rsidR="00E01219" w:rsidRPr="00E01219" w:rsidTr="00E01219">
        <w:trPr>
          <w:gridAfter w:val="1"/>
          <w:wAfter w:w="586" w:type="dxa"/>
        </w:trPr>
        <w:tc>
          <w:tcPr>
            <w:tcW w:w="2135" w:type="dxa"/>
            <w:tcMar>
              <w:top w:w="0" w:type="dxa"/>
              <w:left w:w="108" w:type="dxa"/>
              <w:bottom w:w="0" w:type="dxa"/>
              <w:right w:w="108" w:type="dxa"/>
            </w:tcMar>
          </w:tcPr>
          <w:p w:rsidR="00E01219" w:rsidRPr="00E01219" w:rsidRDefault="00E01219" w:rsidP="00E01219">
            <w:pPr>
              <w:spacing w:before="100" w:after="0" w:line="240" w:lineRule="auto"/>
              <w:rPr>
                <w:rFonts w:ascii="Calibri Light" w:eastAsia="Times New Roman" w:hAnsi="Calibri Light" w:cs="Times New Roman"/>
                <w:b/>
                <w:bCs/>
                <w:sz w:val="20"/>
                <w:szCs w:val="20"/>
                <w:lang w:eastAsia="en-CA"/>
              </w:rPr>
            </w:pPr>
          </w:p>
        </w:tc>
        <w:tc>
          <w:tcPr>
            <w:tcW w:w="7215" w:type="dxa"/>
            <w:gridSpan w:val="4"/>
            <w:tcMar>
              <w:top w:w="0" w:type="dxa"/>
              <w:left w:w="108" w:type="dxa"/>
              <w:bottom w:w="0" w:type="dxa"/>
              <w:right w:w="108" w:type="dxa"/>
            </w:tcMar>
          </w:tcPr>
          <w:p w:rsidR="00E01219" w:rsidRPr="00E01219" w:rsidRDefault="00E01219" w:rsidP="00E01219">
            <w:pPr>
              <w:spacing w:before="100" w:after="0" w:line="240" w:lineRule="auto"/>
              <w:rPr>
                <w:rFonts w:ascii="Calibri Light" w:eastAsia="Times New Roman" w:hAnsi="Calibri Light" w:cs="Times New Roman"/>
                <w:sz w:val="20"/>
                <w:szCs w:val="20"/>
                <w:lang w:eastAsia="en-CA"/>
              </w:rPr>
            </w:pPr>
          </w:p>
        </w:tc>
      </w:tr>
      <w:tr w:rsidR="00E01219" w:rsidRPr="00E01219" w:rsidTr="00E01219">
        <w:trPr>
          <w:gridAfter w:val="1"/>
          <w:wAfter w:w="586" w:type="dxa"/>
        </w:trPr>
        <w:tc>
          <w:tcPr>
            <w:tcW w:w="9350" w:type="dxa"/>
            <w:gridSpan w:val="5"/>
            <w:shd w:val="clear" w:color="auto" w:fill="C5E0B3"/>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lastRenderedPageBreak/>
              <w:t>SECTION 8. CONTRÔLE DE L'EXPOSITION / PROTECTION INDIVIDUELLE</w:t>
            </w:r>
          </w:p>
        </w:tc>
      </w:tr>
      <w:tr w:rsidR="00E01219" w:rsidRPr="00E01219" w:rsidTr="00E01219">
        <w:trPr>
          <w:gridAfter w:val="1"/>
          <w:wAfter w:w="586" w:type="dxa"/>
        </w:trPr>
        <w:tc>
          <w:tcPr>
            <w:tcW w:w="9350" w:type="dxa"/>
            <w:gridSpan w:val="5"/>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t>8.1 PARAMÈTRES DE CONTRÔLE</w:t>
            </w:r>
          </w:p>
        </w:tc>
      </w:tr>
      <w:tr w:rsidR="00E01219" w:rsidRPr="00E01219" w:rsidTr="00E01219">
        <w:trPr>
          <w:gridAfter w:val="1"/>
          <w:wAfter w:w="586" w:type="dxa"/>
        </w:trPr>
        <w:tc>
          <w:tcPr>
            <w:tcW w:w="9350" w:type="dxa"/>
            <w:gridSpan w:val="5"/>
            <w:tcMar>
              <w:top w:w="0" w:type="dxa"/>
              <w:left w:w="108" w:type="dxa"/>
              <w:bottom w:w="0" w:type="dxa"/>
              <w:right w:w="108" w:type="dxa"/>
            </w:tcMar>
            <w:hideMark/>
          </w:tcPr>
          <w:p w:rsidR="00E01219" w:rsidRPr="00E01219" w:rsidRDefault="00E01219" w:rsidP="00E01219">
            <w:pPr>
              <w:spacing w:before="57"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pacing w:val="-1"/>
                <w:lang w:eastAsia="en-CA"/>
              </w:rPr>
              <w:t>Très</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pacing w:val="-1"/>
                <w:lang w:eastAsia="en-CA"/>
              </w:rPr>
              <w:t>soluble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lang w:eastAsia="en-CA"/>
              </w:rPr>
              <w:t>-</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pacing w:val="-1"/>
                <w:lang w:eastAsia="en-CA"/>
              </w:rPr>
              <w:t>Pas d'ACGIH</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pacing w:val="-1"/>
                <w:lang w:eastAsia="en-CA"/>
              </w:rPr>
              <w:t>TWA,</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pacing w:val="-1"/>
                <w:lang w:eastAsia="en-CA"/>
              </w:rPr>
              <w:t>Particules</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pacing w:val="-1"/>
                <w:lang w:eastAsia="en-CA"/>
              </w:rPr>
              <w:t>ne pas</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pacing w:val="-1"/>
                <w:lang w:eastAsia="en-CA"/>
              </w:rPr>
              <w:t>Autrement</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pacing w:val="-1"/>
                <w:lang w:eastAsia="en-CA"/>
              </w:rPr>
              <w:t>Spécifié</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pacing w:val="-1"/>
                <w:lang w:eastAsia="en-CA"/>
              </w:rPr>
              <w:t>(PNOS)</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pacing w:val="-1"/>
                <w:lang w:eastAsia="en-CA"/>
              </w:rPr>
              <w:t>ne pas</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pacing w:val="-1"/>
                <w:lang w:eastAsia="en-CA"/>
              </w:rPr>
              <w:t>approprié</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pacing w:val="-1"/>
                <w:lang w:eastAsia="en-CA"/>
              </w:rPr>
              <w:t>pourtrès</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pacing w:val="-1"/>
                <w:lang w:eastAsia="en-CA"/>
              </w:rPr>
              <w:t>soluble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pacing w:val="-1"/>
                <w:lang w:eastAsia="en-CA"/>
              </w:rPr>
              <w:t>Matériel.</w:t>
            </w:r>
          </w:p>
        </w:tc>
      </w:tr>
      <w:tr w:rsidR="00E01219" w:rsidRPr="00E01219" w:rsidTr="00E01219">
        <w:trPr>
          <w:gridAfter w:val="1"/>
          <w:wAfter w:w="586" w:type="dxa"/>
        </w:trPr>
        <w:tc>
          <w:tcPr>
            <w:tcW w:w="9350" w:type="dxa"/>
            <w:gridSpan w:val="5"/>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t>8.2 CONTRÔLES D'EXPOSITION</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Contrôles d'ingénierie appropriés</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b/>
                <w:bCs/>
                <w:sz w:val="20"/>
                <w:szCs w:val="20"/>
                <w:lang w:eastAsia="en-CA"/>
              </w:rPr>
              <w:t>:</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Assurer une ventilation adéquate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(en particulier dans les zones confinées), stations de lavage des yeux.</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Équipement de protection individuelle: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Gants.</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Lunettes de protection.</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Vêtements de protection.</w:t>
            </w:r>
            <w:r w:rsidRPr="00E01219">
              <w:rPr>
                <w:rFonts w:ascii="Calibri Light" w:eastAsia="Times New Roman" w:hAnsi="Calibri Light" w:cs="Times New Roman"/>
                <w:spacing w:val="41"/>
                <w:position w:val="1"/>
                <w:sz w:val="24"/>
                <w:szCs w:val="24"/>
                <w:lang w:eastAsia="en-CA"/>
              </w:rPr>
              <w:t>             </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Protection des mains:</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Pr>
                <w:rFonts w:ascii="Calibri Light" w:eastAsia="Times New Roman" w:hAnsi="Calibri Light" w:cs="Times New Roman"/>
                <w:noProof/>
                <w:spacing w:val="41"/>
                <w:position w:val="1"/>
                <w:sz w:val="24"/>
                <w:szCs w:val="24"/>
                <w:lang w:eastAsia="en-CA"/>
              </w:rPr>
              <w:drawing>
                <wp:anchor distT="0" distB="0" distL="114300" distR="114300" simplePos="0" relativeHeight="251658240" behindDoc="0" locked="0" layoutInCell="1" allowOverlap="1">
                  <wp:simplePos x="0" y="0"/>
                  <wp:positionH relativeFrom="column">
                    <wp:posOffset>3033395</wp:posOffset>
                  </wp:positionH>
                  <wp:positionV relativeFrom="paragraph">
                    <wp:posOffset>-390525</wp:posOffset>
                  </wp:positionV>
                  <wp:extent cx="1428750" cy="4787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478790"/>
                          </a:xfrm>
                          <a:prstGeom prst="rect">
                            <a:avLst/>
                          </a:prstGeom>
                          <a:noFill/>
                        </pic:spPr>
                      </pic:pic>
                    </a:graphicData>
                  </a:graphic>
                </wp:anchor>
              </w:drawing>
            </w:r>
            <w:r w:rsidRPr="00E01219">
              <w:rPr>
                <w:rFonts w:ascii="Calibri Light" w:eastAsia="Times New Roman" w:hAnsi="Calibri Light" w:cs="Times New Roman"/>
                <w:sz w:val="20"/>
                <w:szCs w:val="20"/>
                <w:lang w:eastAsia="en-CA"/>
              </w:rPr>
              <w:t>Gants de protection imperméables.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Protection des yeux:</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Lunettes de protection et lunettes de sécurité</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Protection de la peau et du corps</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Des fontaines d'urgence pour les yeux et des douches de sécurité doivent être disponibles à proximité immédiate de toute exposition potentielle.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Porter des vêtements de protection appropriés.</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Laver les vêtements contaminés avant de les réutiliser.</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Manipuler conformément aux bonnes pratiques d'hygiène industrielle et de sécurité.</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Laver les vêtements fréquemment.</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Chaussure: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Ordinaire</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Protection respiratoire: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Utiliser un appareil de protection respiratoire à adduction d'air purifié ou à adduction d'air approuvé par le NIOSH lorsque les concentrations de poussières dans l'air dépassent les limites d'exposition.</w:t>
            </w:r>
          </w:p>
        </w:tc>
      </w:tr>
      <w:tr w:rsidR="00E01219" w:rsidRPr="00E01219" w:rsidTr="00E01219">
        <w:trPr>
          <w:gridAfter w:val="1"/>
          <w:wAfter w:w="586" w:type="dxa"/>
        </w:trPr>
        <w:tc>
          <w:tcPr>
            <w:tcW w:w="9350" w:type="dxa"/>
            <w:gridSpan w:val="5"/>
            <w:shd w:val="clear" w:color="auto" w:fill="C5E0B3"/>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SECTION 9. PROPRIÉTÉS PHYSIQUES ET CHIMIQUES</w:t>
            </w:r>
          </w:p>
        </w:tc>
      </w:tr>
      <w:tr w:rsidR="00E01219" w:rsidRPr="00E01219" w:rsidTr="00E01219">
        <w:trPr>
          <w:gridAfter w:val="1"/>
          <w:wAfter w:w="586" w:type="dxa"/>
        </w:trPr>
        <w:tc>
          <w:tcPr>
            <w:tcW w:w="9350" w:type="dxa"/>
            <w:gridSpan w:val="5"/>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t>9.1 INFORMATIONS SUR LES PROPRIÉTÉS PHYSIQUES ET CHIMIQUES DE BASE</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État physique</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Solide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(cristallin)</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Couleur</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Blanc à Rouge</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Odeur</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Aucun</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Seuil d'odeur</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Pas de données disponibles</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pH</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6-8</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Taux d'évaporation relatif (butylacétate = 1)</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Pas de données disponibles</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Point de fusion</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1473,8 ° F (801 ° C)</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Point de congélation</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Pas de données disponibles</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Point d'ébullition</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2669ºF (1465 ° C)</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Point de rupture</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Pas de données disponibles</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Température d'auto-inflammation:</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Non inflammable</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Température de décomposition:</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Pas de données disponibles</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Inflammabilité (solide / gaz):</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Non inflammable</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Pression de vapeur:</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Pas de données disponibles</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bookmarkStart w:id="0" w:name="_GoBack" w:colFirst="1" w:colLast="1"/>
            <w:r w:rsidRPr="00E01219">
              <w:rPr>
                <w:rFonts w:ascii="Calibri Light" w:eastAsia="Times New Roman" w:hAnsi="Calibri Light" w:cs="Times New Roman"/>
                <w:b/>
                <w:bCs/>
                <w:sz w:val="20"/>
                <w:szCs w:val="20"/>
                <w:lang w:eastAsia="en-CA"/>
              </w:rPr>
              <w:lastRenderedPageBreak/>
              <w:t>Densité relative de vapeur à 20ºC:</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Pas de données disponibles</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Densité relative:</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2,14</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Densité:</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Pas de données disponibles</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Solubilité:</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26%</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Log Pow ou Log Kow</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Pas de données disponibles</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Viscosité</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Pas de données disponibles</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Propriétés explosives</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Aucun connu</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Propriétés oxydantes</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Aucun connu</w:t>
            </w:r>
          </w:p>
        </w:tc>
      </w:tr>
      <w:tr w:rsidR="00E01219" w:rsidRPr="00E01219" w:rsidTr="00E200DB">
        <w:trPr>
          <w:gridAfter w:val="1"/>
          <w:wAfter w:w="586" w:type="dxa"/>
        </w:trPr>
        <w:tc>
          <w:tcPr>
            <w:tcW w:w="2790" w:type="dxa"/>
            <w:gridSpan w:val="3"/>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Limites d'explosivité</w:t>
            </w:r>
          </w:p>
        </w:tc>
        <w:tc>
          <w:tcPr>
            <w:tcW w:w="6560"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Pas explosif</w:t>
            </w:r>
          </w:p>
        </w:tc>
      </w:tr>
      <w:bookmarkEnd w:id="0"/>
      <w:tr w:rsidR="00E01219" w:rsidRPr="00E01219" w:rsidTr="00E01219">
        <w:trPr>
          <w:gridAfter w:val="1"/>
          <w:wAfter w:w="586" w:type="dxa"/>
        </w:trPr>
        <w:tc>
          <w:tcPr>
            <w:tcW w:w="9350" w:type="dxa"/>
            <w:gridSpan w:val="5"/>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t>9.2 AUTRES INFORMATIONS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Contenu de COV</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Pas de données disponibles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Densité en vrac</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71-77lbs / ft</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13"/>
                <w:szCs w:val="13"/>
                <w:vertAlign w:val="superscript"/>
                <w:lang w:eastAsia="en-CA"/>
              </w:rPr>
              <w:t>3</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(1137-1234kg / m3)</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Formule moléculaire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NaCl</w:t>
            </w:r>
          </w:p>
        </w:tc>
      </w:tr>
      <w:tr w:rsidR="00E01219" w:rsidRPr="00E01219" w:rsidTr="00E01219">
        <w:trPr>
          <w:gridAfter w:val="1"/>
          <w:wAfter w:w="586" w:type="dxa"/>
        </w:trPr>
        <w:tc>
          <w:tcPr>
            <w:tcW w:w="9350" w:type="dxa"/>
            <w:gridSpan w:val="5"/>
            <w:shd w:val="clear" w:color="auto" w:fill="C5E0B3"/>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SECTION 10. STABILITÉ ET RÉACTIVITÉ</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Réactivité</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Stable à température ambiante et dans des conditions normales d'utilisation.</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Stabilité chimique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Stable à température et pression standard.</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Possibilité de réactions dangereuses</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Une polymérisation dangereuse ne se produira pas.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Conditions à éviter</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Protéger de l'humidité.</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Matériaux incompatibles</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Le contact avec les acides libère des gaz toxiques (chlore).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 xml:space="preserve">Lithium, interhalogènes (bromure, triflourite, etc.), acides, </w:t>
            </w:r>
            <w:proofErr w:type="gramStart"/>
            <w:r w:rsidRPr="00E01219">
              <w:rPr>
                <w:rFonts w:ascii="Calibri Light" w:eastAsia="Times New Roman" w:hAnsi="Calibri Light" w:cs="Times New Roman"/>
                <w:sz w:val="20"/>
                <w:szCs w:val="20"/>
                <w:lang w:eastAsia="en-CA"/>
              </w:rPr>
              <w:t>agents</w:t>
            </w:r>
            <w:proofErr w:type="gramEnd"/>
            <w:r w:rsidRPr="00E01219">
              <w:rPr>
                <w:rFonts w:ascii="Calibri Light" w:eastAsia="Times New Roman" w:hAnsi="Calibri Light" w:cs="Times New Roman"/>
                <w:sz w:val="20"/>
                <w:szCs w:val="20"/>
                <w:lang w:eastAsia="en-CA"/>
              </w:rPr>
              <w:t xml:space="preserve"> oxydants.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Produits de décomposition dangereux</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Le contact avec des acides forts peut produire du chlore gazeux d'hydrogène.</w:t>
            </w:r>
          </w:p>
        </w:tc>
      </w:tr>
      <w:tr w:rsidR="00E01219" w:rsidRPr="00E01219" w:rsidTr="00E01219">
        <w:trPr>
          <w:gridAfter w:val="1"/>
          <w:wAfter w:w="586" w:type="dxa"/>
        </w:trPr>
        <w:tc>
          <w:tcPr>
            <w:tcW w:w="9350" w:type="dxa"/>
            <w:gridSpan w:val="5"/>
            <w:shd w:val="clear" w:color="auto" w:fill="C5E0B3"/>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SECTION 11. INFORMATIONS TOXICOLOGIQUES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Toxicité aiguë</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Non classés</w:t>
            </w:r>
          </w:p>
        </w:tc>
      </w:tr>
      <w:tr w:rsidR="00E01219" w:rsidRPr="00E01219" w:rsidTr="00E01219">
        <w:trPr>
          <w:gridAfter w:val="1"/>
          <w:wAfter w:w="586" w:type="dxa"/>
        </w:trPr>
        <w:tc>
          <w:tcPr>
            <w:tcW w:w="9350" w:type="dxa"/>
            <w:gridSpan w:val="5"/>
            <w:tcMar>
              <w:top w:w="0" w:type="dxa"/>
              <w:left w:w="108" w:type="dxa"/>
              <w:bottom w:w="0" w:type="dxa"/>
              <w:right w:w="108" w:type="dxa"/>
            </w:tcMar>
            <w:hideMark/>
          </w:tcPr>
          <w:p w:rsidR="00E01219" w:rsidRPr="00E01219" w:rsidRDefault="00E01219" w:rsidP="00E01219">
            <w:pPr>
              <w:spacing w:after="0" w:line="240" w:lineRule="auto"/>
              <w:rPr>
                <w:rFonts w:ascii="Times New Roman" w:eastAsia="Times New Roman" w:hAnsi="Times New Roman" w:cs="Times New Roman"/>
                <w:sz w:val="24"/>
                <w:szCs w:val="24"/>
                <w:u w:val="single"/>
                <w:lang w:eastAsia="en-CA"/>
              </w:rPr>
            </w:pPr>
            <w:r w:rsidRPr="00E01219">
              <w:rPr>
                <w:rFonts w:ascii="Calibri Light" w:eastAsia="Times New Roman" w:hAnsi="Calibri Light" w:cs="Times New Roman"/>
                <w:sz w:val="18"/>
                <w:szCs w:val="18"/>
                <w:u w:val="single"/>
                <w:lang w:eastAsia="en-CA"/>
              </w:rPr>
              <w:t>CHLORURE DE SODIUM (7647-14-5)</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CL50</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3g / kg</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DL50 (orale)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&gt; 10g / kg</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          DL50 (dermique)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&gt; 42g / m3 (durée d'exposition: 1h)</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Corrosion cutanée / irritation</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Doux</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Lésions oculaires graves / irritation oculaire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Doux - La poussière de sel peut causer une irritation des yeux.</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STOT (toxicité spécifique pour certains organes cibles) - Exposition unique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Non classés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STOT (Toxicité spécifique pour certains organes cibles) - Exposition répétée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Non classés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lastRenderedPageBreak/>
              <w:t>Danger par aspiration</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Non classés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Sensibilisation respiratoire et / ou cutanée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Non classés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Toxicité pour la reproduction</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Non classés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Mutagénicité des cellules germinales</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Non classés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Cancérogénicité</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Non classés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Effets sur l'organe-cible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Reins, Yeux, Peau, Système respiratoire.</w:t>
            </w:r>
          </w:p>
        </w:tc>
      </w:tr>
      <w:tr w:rsidR="00E01219" w:rsidRPr="00E01219" w:rsidTr="00E01219">
        <w:trPr>
          <w:gridAfter w:val="1"/>
          <w:wAfter w:w="586" w:type="dxa"/>
        </w:trPr>
        <w:tc>
          <w:tcPr>
            <w:tcW w:w="9350" w:type="dxa"/>
            <w:gridSpan w:val="5"/>
            <w:shd w:val="clear" w:color="auto" w:fill="C5E0B3"/>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SECTION 12. INFORMATIONS ÉCOLOGIQUES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Eco toxicité</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Le produit n'est pas classé comme dangereux pour l'environnement.</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Cependant, cela n'exclut pas la possibilité que des déversements importants ou fréquents puissent avoir un effet nocif ou dommageable sur l'environnement.</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Devenir dans l'environnement</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Pas de données disponibles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Toxicité</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Pas de données disponibles</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20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Produits de dégradation</w:t>
            </w:r>
          </w:p>
        </w:tc>
        <w:tc>
          <w:tcPr>
            <w:tcW w:w="7215" w:type="dxa"/>
            <w:gridSpan w:val="4"/>
            <w:tcMar>
              <w:top w:w="0" w:type="dxa"/>
              <w:left w:w="108" w:type="dxa"/>
              <w:bottom w:w="0" w:type="dxa"/>
              <w:right w:w="108" w:type="dxa"/>
            </w:tcMar>
            <w:hideMark/>
          </w:tcPr>
          <w:p w:rsidR="00E01219" w:rsidRPr="00E01219" w:rsidRDefault="00E01219" w:rsidP="00E01219">
            <w:pPr>
              <w:spacing w:before="100" w:after="20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Pas de données disponibles</w:t>
            </w:r>
          </w:p>
        </w:tc>
      </w:tr>
      <w:tr w:rsidR="00E01219" w:rsidRPr="00E01219" w:rsidTr="00E01219">
        <w:trPr>
          <w:gridAfter w:val="1"/>
          <w:wAfter w:w="586" w:type="dxa"/>
        </w:trPr>
        <w:tc>
          <w:tcPr>
            <w:tcW w:w="9350" w:type="dxa"/>
            <w:gridSpan w:val="5"/>
            <w:shd w:val="clear" w:color="auto" w:fill="C5E0B3"/>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SECTION 13. CONSIDÉRATIONS RELATIVES À L'ÉLIMINATION</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Recommandations sur l'élimination des eaux usées</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Ce matériau peut être dangereux pour l'environnement aquatique.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Garder hors des égouts et des cours d'eau.</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Recommandations pour l'élimination des déchets</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Placer dans un contenant approprié et disposer du matériel contaminé sur un site autorisé.</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Information additionnelle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Éliminer les déchets conformément à toutes les réglementations locales, régionales, nationales et internationales.</w:t>
            </w:r>
          </w:p>
        </w:tc>
      </w:tr>
      <w:tr w:rsidR="00E01219" w:rsidRPr="00E01219" w:rsidTr="00E01219">
        <w:trPr>
          <w:gridAfter w:val="1"/>
          <w:wAfter w:w="586" w:type="dxa"/>
        </w:trPr>
        <w:tc>
          <w:tcPr>
            <w:tcW w:w="9350" w:type="dxa"/>
            <w:gridSpan w:val="5"/>
            <w:shd w:val="clear" w:color="auto" w:fill="C5E0B3"/>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SECTION 14. INFORMATIONS RELATIVES AU TRANSPORT</w:t>
            </w:r>
          </w:p>
        </w:tc>
      </w:tr>
      <w:tr w:rsidR="00E01219" w:rsidRPr="00E01219" w:rsidTr="00E01219">
        <w:trPr>
          <w:gridAfter w:val="1"/>
          <w:wAfter w:w="586" w:type="dxa"/>
        </w:trPr>
        <w:tc>
          <w:tcPr>
            <w:tcW w:w="9350" w:type="dxa"/>
            <w:gridSpan w:val="5"/>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Conformément à DOT / TMD / ADR / RID / ADNR / IMDG / OACI / IATA</w:t>
            </w:r>
          </w:p>
        </w:tc>
      </w:tr>
      <w:tr w:rsidR="00E01219" w:rsidRPr="00E01219" w:rsidTr="00E01219">
        <w:trPr>
          <w:gridAfter w:val="1"/>
          <w:wAfter w:w="586" w:type="dxa"/>
        </w:trPr>
        <w:tc>
          <w:tcPr>
            <w:tcW w:w="9350" w:type="dxa"/>
            <w:gridSpan w:val="5"/>
            <w:tcMar>
              <w:top w:w="0" w:type="dxa"/>
              <w:left w:w="108" w:type="dxa"/>
              <w:bottom w:w="0" w:type="dxa"/>
              <w:right w:w="108" w:type="dxa"/>
            </w:tcMar>
            <w:hideMark/>
          </w:tcPr>
          <w:p w:rsidR="00E01219" w:rsidRPr="00E01219" w:rsidRDefault="00E01219" w:rsidP="00E01219">
            <w:pPr>
              <w:spacing w:before="100" w:after="0" w:line="240" w:lineRule="auto"/>
              <w:ind w:left="242"/>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Numéro ONU - Pas de produit dangereux en termes de réglementation du transport.</w:t>
            </w:r>
          </w:p>
        </w:tc>
      </w:tr>
      <w:tr w:rsidR="00E01219" w:rsidRPr="00E01219" w:rsidTr="00E01219">
        <w:trPr>
          <w:gridAfter w:val="1"/>
          <w:wAfter w:w="586" w:type="dxa"/>
        </w:trPr>
        <w:tc>
          <w:tcPr>
            <w:tcW w:w="9350" w:type="dxa"/>
            <w:gridSpan w:val="5"/>
            <w:tcMar>
              <w:top w:w="0" w:type="dxa"/>
              <w:left w:w="108" w:type="dxa"/>
              <w:bottom w:w="0" w:type="dxa"/>
              <w:right w:w="108" w:type="dxa"/>
            </w:tcMar>
            <w:hideMark/>
          </w:tcPr>
          <w:p w:rsidR="00E01219" w:rsidRPr="00E01219" w:rsidRDefault="00E01219" w:rsidP="00E01219">
            <w:pPr>
              <w:spacing w:before="100" w:after="0" w:line="240" w:lineRule="auto"/>
              <w:ind w:left="242"/>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Nom d'expédition des Nations unies - Sans objet</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Transport terrestre</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Aucune information supplémentaire disponible.</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Transport par mer</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Aucune information supplémentaire disponible.</w:t>
            </w:r>
          </w:p>
        </w:tc>
      </w:tr>
      <w:tr w:rsidR="00E01219" w:rsidRPr="00E01219" w:rsidTr="00E01219">
        <w:trPr>
          <w:gridAfter w:val="1"/>
          <w:wAfter w:w="586" w:type="dxa"/>
        </w:trPr>
        <w:tc>
          <w:tcPr>
            <w:tcW w:w="2135" w:type="dxa"/>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Transport aérien</w:t>
            </w:r>
          </w:p>
        </w:tc>
        <w:tc>
          <w:tcPr>
            <w:tcW w:w="7215"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Aucune information supplémentaire disponible.</w:t>
            </w:r>
          </w:p>
        </w:tc>
      </w:tr>
      <w:tr w:rsidR="00E01219" w:rsidRPr="00E01219" w:rsidTr="00E01219">
        <w:trPr>
          <w:gridAfter w:val="1"/>
          <w:wAfter w:w="586" w:type="dxa"/>
        </w:trPr>
        <w:tc>
          <w:tcPr>
            <w:tcW w:w="9350" w:type="dxa"/>
            <w:gridSpan w:val="5"/>
            <w:shd w:val="clear" w:color="auto" w:fill="C5E0B3"/>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SECTION 15. INFORMATIONS RÉGLEMENTAIRES</w:t>
            </w:r>
          </w:p>
        </w:tc>
      </w:tr>
      <w:tr w:rsidR="00E01219" w:rsidRPr="00E01219" w:rsidTr="00E01219">
        <w:trPr>
          <w:gridAfter w:val="1"/>
          <w:wAfter w:w="586" w:type="dxa"/>
        </w:trPr>
        <w:tc>
          <w:tcPr>
            <w:tcW w:w="9350" w:type="dxa"/>
            <w:gridSpan w:val="5"/>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t>15.1 RÉGLEMENTATION FÉDÉRALE DES ÉTATS-UNIS</w:t>
            </w:r>
          </w:p>
        </w:tc>
      </w:tr>
      <w:tr w:rsidR="00E01219" w:rsidRPr="00E01219" w:rsidTr="00E01219">
        <w:trPr>
          <w:gridAfter w:val="1"/>
          <w:wAfter w:w="586" w:type="dxa"/>
        </w:trPr>
        <w:tc>
          <w:tcPr>
            <w:tcW w:w="9350" w:type="dxa"/>
            <w:gridSpan w:val="5"/>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Chlorure de sodium (7647-14-5) - Inscrit sur l'inventaire des États-Unis TSCA (Toxic Substances Control Act)</w:t>
            </w:r>
          </w:p>
        </w:tc>
      </w:tr>
    </w:tbl>
    <w:p w:rsidR="00E01219" w:rsidRDefault="00E01219">
      <w:r>
        <w:br w:type="page"/>
      </w:r>
    </w:p>
    <w:tbl>
      <w:tblPr>
        <w:tblW w:w="9350" w:type="dxa"/>
        <w:tblCellMar>
          <w:left w:w="0" w:type="dxa"/>
          <w:right w:w="0" w:type="dxa"/>
        </w:tblCellMar>
        <w:tblLook w:val="04A0" w:firstRow="1" w:lastRow="0" w:firstColumn="1" w:lastColumn="0" w:noHBand="0" w:noVBand="1"/>
      </w:tblPr>
      <w:tblGrid>
        <w:gridCol w:w="1870"/>
        <w:gridCol w:w="265"/>
        <w:gridCol w:w="1605"/>
        <w:gridCol w:w="1870"/>
        <w:gridCol w:w="1870"/>
        <w:gridCol w:w="31"/>
        <w:gridCol w:w="1839"/>
      </w:tblGrid>
      <w:tr w:rsidR="00E01219" w:rsidRPr="00E01219" w:rsidTr="00E01219">
        <w:tc>
          <w:tcPr>
            <w:tcW w:w="9350" w:type="dxa"/>
            <w:gridSpan w:val="7"/>
            <w:shd w:val="clear" w:color="auto" w:fill="E2EFD9"/>
            <w:tcMar>
              <w:top w:w="0" w:type="dxa"/>
              <w:left w:w="108" w:type="dxa"/>
              <w:bottom w:w="0" w:type="dxa"/>
              <w:right w:w="108" w:type="dxa"/>
            </w:tcMar>
            <w:hideMark/>
          </w:tcPr>
          <w:p w:rsidR="00E01219" w:rsidRPr="00E01219" w:rsidRDefault="00E01219" w:rsidP="00E01219">
            <w:pPr>
              <w:spacing w:before="100" w:after="0" w:line="207" w:lineRule="atLeast"/>
              <w:rPr>
                <w:rFonts w:ascii="Times New Roman" w:eastAsia="Times New Roman" w:hAnsi="Times New Roman" w:cs="Times New Roman"/>
                <w:sz w:val="18"/>
                <w:szCs w:val="18"/>
                <w:lang w:eastAsia="en-CA"/>
              </w:rPr>
            </w:pPr>
            <w:r w:rsidRPr="00E01219">
              <w:rPr>
                <w:rFonts w:ascii="Calibri Light" w:eastAsia="Times New Roman" w:hAnsi="Calibri Light" w:cs="Times New Roman"/>
                <w:b/>
                <w:bCs/>
                <w:sz w:val="18"/>
                <w:szCs w:val="18"/>
                <w:lang w:eastAsia="en-CA"/>
              </w:rPr>
              <w:lastRenderedPageBreak/>
              <w:t>15.2 RÈGLEMENT DE L'ÉTAT AMÉRICAIN</w:t>
            </w:r>
          </w:p>
        </w:tc>
      </w:tr>
      <w:tr w:rsidR="00E01219" w:rsidRPr="00E01219" w:rsidTr="00E01219">
        <w:tc>
          <w:tcPr>
            <w:tcW w:w="9350" w:type="dxa"/>
            <w:gridSpan w:val="7"/>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Les états suivants ont un programme de SST approuvé par l'OSHA.</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Si vous êtes situé dans l'un de ces États, vous pouvez être sous la juridiction de l'État plutôt que de la juridiction fédérale et votre état peut avoir des exigences plus strictes que l'OSHA.</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Vous devriez consulter vos règlements d'état pour assurer la conformité.</w:t>
            </w:r>
          </w:p>
        </w:tc>
      </w:tr>
      <w:tr w:rsidR="00E01219" w:rsidRPr="00E01219" w:rsidTr="00E01219">
        <w:tc>
          <w:tcPr>
            <w:tcW w:w="1870" w:type="dxa"/>
            <w:tcMar>
              <w:top w:w="0" w:type="dxa"/>
              <w:left w:w="108" w:type="dxa"/>
              <w:bottom w:w="0" w:type="dxa"/>
              <w:right w:w="108" w:type="dxa"/>
            </w:tcMa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Alaska</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Arizona</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Californie</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*Connecticut</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Hawaii</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*Illinois</w:t>
            </w:r>
          </w:p>
        </w:tc>
        <w:tc>
          <w:tcPr>
            <w:tcW w:w="1870" w:type="dxa"/>
            <w:gridSpan w:val="2"/>
            <w:tcMar>
              <w:top w:w="0" w:type="dxa"/>
              <w:left w:w="108" w:type="dxa"/>
              <w:bottom w:w="0" w:type="dxa"/>
              <w:right w:w="108" w:type="dxa"/>
            </w:tcMa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Indiana</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Iowa</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Kentucky</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Maryland</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Michigan</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Minnesota</w:t>
            </w:r>
          </w:p>
        </w:tc>
        <w:tc>
          <w:tcPr>
            <w:tcW w:w="1870" w:type="dxa"/>
            <w:tcMar>
              <w:top w:w="0" w:type="dxa"/>
              <w:left w:w="108" w:type="dxa"/>
              <w:bottom w:w="0" w:type="dxa"/>
              <w:right w:w="108" w:type="dxa"/>
            </w:tcMa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Nevada</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Nouveau Mexique</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*New Jersey</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*New York</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Caroline du Nord</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Oregon</w:t>
            </w:r>
          </w:p>
        </w:tc>
        <w:tc>
          <w:tcPr>
            <w:tcW w:w="1870" w:type="dxa"/>
            <w:tcMar>
              <w:top w:w="0" w:type="dxa"/>
              <w:left w:w="108" w:type="dxa"/>
              <w:bottom w:w="0" w:type="dxa"/>
              <w:right w:w="108" w:type="dxa"/>
            </w:tcMa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Porto Rico</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Caroline du Sud</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Tennessee</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Utah</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Vermont</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*Les iles vierges</w:t>
            </w:r>
          </w:p>
        </w:tc>
        <w:tc>
          <w:tcPr>
            <w:tcW w:w="1870" w:type="dxa"/>
            <w:gridSpan w:val="2"/>
            <w:tcMar>
              <w:top w:w="0" w:type="dxa"/>
              <w:left w:w="108" w:type="dxa"/>
              <w:bottom w:w="0" w:type="dxa"/>
              <w:right w:w="108" w:type="dxa"/>
            </w:tcMa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Virginie</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Washington</w:t>
            </w:r>
          </w:p>
          <w:p w:rsidR="00E01219" w:rsidRPr="00E01219" w:rsidRDefault="00E01219" w:rsidP="00E01219">
            <w:pPr>
              <w:spacing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Wyoming</w:t>
            </w:r>
          </w:p>
        </w:tc>
      </w:tr>
      <w:tr w:rsidR="00E01219" w:rsidRPr="00E01219" w:rsidTr="00E01219">
        <w:tc>
          <w:tcPr>
            <w:tcW w:w="9350" w:type="dxa"/>
            <w:gridSpan w:val="7"/>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 Les plans d'état dans ces états s'appliquent uniquement aux employés du secteur public.</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Dans ces États, les employeurs du secteur privé sont soumis à la juridiction de USOL - OSHA.</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Tous les autres régimes d'État s'appliquent aux employeurs des secteurs public et privé.</w:t>
            </w:r>
          </w:p>
        </w:tc>
      </w:tr>
      <w:tr w:rsidR="00E01219" w:rsidRPr="00E01219" w:rsidTr="00E01219">
        <w:tc>
          <w:tcPr>
            <w:tcW w:w="9350" w:type="dxa"/>
            <w:gridSpan w:val="7"/>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Chlorure de sodium (7647-14-5) - États-Unis Texas - Niveaux de dépistage des effets - À court et à long terme</w:t>
            </w:r>
          </w:p>
        </w:tc>
      </w:tr>
      <w:tr w:rsidR="00E01219" w:rsidRPr="00E01219" w:rsidTr="00E01219">
        <w:tc>
          <w:tcPr>
            <w:tcW w:w="9350" w:type="dxa"/>
            <w:gridSpan w:val="7"/>
            <w:shd w:val="clear" w:color="auto" w:fill="C5E0B3"/>
            <w:tcMar>
              <w:top w:w="0" w:type="dxa"/>
              <w:left w:w="108" w:type="dxa"/>
              <w:bottom w:w="0" w:type="dxa"/>
              <w:right w:w="108" w:type="dxa"/>
            </w:tcMar>
            <w:hideMark/>
          </w:tcPr>
          <w:p w:rsidR="00E01219" w:rsidRPr="00E01219" w:rsidRDefault="00E01219" w:rsidP="00E01219">
            <w:pPr>
              <w:spacing w:before="100" w:after="0" w:line="230" w:lineRule="atLeast"/>
              <w:rPr>
                <w:rFonts w:ascii="Times New Roman" w:eastAsia="Times New Roman" w:hAnsi="Times New Roman" w:cs="Times New Roman"/>
                <w:sz w:val="20"/>
                <w:szCs w:val="20"/>
                <w:lang w:eastAsia="en-CA"/>
              </w:rPr>
            </w:pPr>
            <w:r w:rsidRPr="00E01219">
              <w:rPr>
                <w:rFonts w:ascii="Calibri Light" w:eastAsia="Times New Roman" w:hAnsi="Calibri Light" w:cs="Times New Roman"/>
                <w:b/>
                <w:bCs/>
                <w:sz w:val="20"/>
                <w:szCs w:val="20"/>
                <w:lang w:eastAsia="en-CA"/>
              </w:rPr>
              <w:t>SECTION 16. AUTRES INFORMATIONS</w:t>
            </w:r>
          </w:p>
        </w:tc>
      </w:tr>
      <w:tr w:rsidR="00E01219" w:rsidRPr="00E01219" w:rsidTr="00E01219">
        <w:tc>
          <w:tcPr>
            <w:tcW w:w="2135"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Danger pour la santé NFPA</w:t>
            </w:r>
          </w:p>
        </w:tc>
        <w:tc>
          <w:tcPr>
            <w:tcW w:w="5376"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1 - L'exposition peut provoquer une irritation mais seulement une blessure résiduelle mineure même si aucun traitement n'est donné.</w:t>
            </w:r>
          </w:p>
        </w:tc>
        <w:tc>
          <w:tcPr>
            <w:tcW w:w="1839" w:type="dxa"/>
            <w:vMerge w:val="restart"/>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inline distT="0" distB="0" distL="0" distR="0" wp14:anchorId="643AA0CE">
                  <wp:extent cx="1030605" cy="10306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inline>
              </w:drawing>
            </w:r>
          </w:p>
        </w:tc>
      </w:tr>
      <w:tr w:rsidR="00E01219" w:rsidRPr="00E01219" w:rsidTr="00E01219">
        <w:tc>
          <w:tcPr>
            <w:tcW w:w="2135"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Danger d'incendie NFPA</w:t>
            </w:r>
          </w:p>
        </w:tc>
        <w:tc>
          <w:tcPr>
            <w:tcW w:w="5376"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0 - Matériaux qui ne brûleront pas.</w:t>
            </w:r>
          </w:p>
        </w:tc>
        <w:tc>
          <w:tcPr>
            <w:tcW w:w="0" w:type="auto"/>
            <w:vMerge/>
            <w:vAlign w:val="cente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rPr>
          <w:trHeight w:val="693"/>
        </w:trPr>
        <w:tc>
          <w:tcPr>
            <w:tcW w:w="2135"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Réactivité NFPA</w:t>
            </w:r>
          </w:p>
        </w:tc>
        <w:tc>
          <w:tcPr>
            <w:tcW w:w="5376" w:type="dxa"/>
            <w:gridSpan w:val="4"/>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0 - Normalement stable, même dans des conditions d'exposition au feu, et ne réagit pas avec l'eau.</w:t>
            </w:r>
          </w:p>
        </w:tc>
        <w:tc>
          <w:tcPr>
            <w:tcW w:w="0" w:type="auto"/>
            <w:vMerge/>
            <w:vAlign w:val="center"/>
            <w:hideMark/>
          </w:tcPr>
          <w:p w:rsidR="00E01219" w:rsidRPr="00E01219" w:rsidRDefault="00E01219" w:rsidP="00E01219">
            <w:pPr>
              <w:spacing w:after="0" w:line="240" w:lineRule="auto"/>
              <w:rPr>
                <w:rFonts w:ascii="Times New Roman" w:eastAsia="Times New Roman" w:hAnsi="Times New Roman" w:cs="Times New Roman"/>
                <w:sz w:val="24"/>
                <w:szCs w:val="24"/>
                <w:lang w:eastAsia="en-CA"/>
              </w:rPr>
            </w:pPr>
          </w:p>
        </w:tc>
      </w:tr>
      <w:tr w:rsidR="00E01219" w:rsidRPr="00E01219" w:rsidTr="00E01219">
        <w:tc>
          <w:tcPr>
            <w:tcW w:w="2135"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Date de la dernière révision</w:t>
            </w:r>
          </w:p>
        </w:tc>
        <w:tc>
          <w:tcPr>
            <w:tcW w:w="7215" w:type="dxa"/>
            <w:gridSpan w:val="5"/>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Avril</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sz w:val="20"/>
                <w:szCs w:val="20"/>
                <w:lang w:eastAsia="en-CA"/>
              </w:rPr>
              <w:t>2018</w:t>
            </w:r>
          </w:p>
        </w:tc>
      </w:tr>
      <w:tr w:rsidR="00E01219" w:rsidRPr="00E01219" w:rsidTr="00E01219">
        <w:tc>
          <w:tcPr>
            <w:tcW w:w="2135"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Preparé par</w:t>
            </w:r>
          </w:p>
        </w:tc>
        <w:tc>
          <w:tcPr>
            <w:tcW w:w="7215" w:type="dxa"/>
            <w:gridSpan w:val="5"/>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NSC Minerals Ltd</w:t>
            </w:r>
          </w:p>
        </w:tc>
      </w:tr>
      <w:tr w:rsidR="00E01219" w:rsidRPr="00E01219" w:rsidTr="00E01219">
        <w:tc>
          <w:tcPr>
            <w:tcW w:w="2135" w:type="dxa"/>
            <w:gridSpan w:val="2"/>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b/>
                <w:bCs/>
                <w:sz w:val="20"/>
                <w:szCs w:val="20"/>
                <w:lang w:eastAsia="en-CA"/>
              </w:rPr>
              <w:t> </w:t>
            </w:r>
          </w:p>
        </w:tc>
        <w:tc>
          <w:tcPr>
            <w:tcW w:w="7215" w:type="dxa"/>
            <w:gridSpan w:val="5"/>
            <w:tcMar>
              <w:top w:w="0" w:type="dxa"/>
              <w:left w:w="108" w:type="dxa"/>
              <w:bottom w:w="0" w:type="dxa"/>
              <w:right w:w="108" w:type="dxa"/>
            </w:tcMar>
            <w:hideMark/>
          </w:tcPr>
          <w:p w:rsidR="00E01219" w:rsidRPr="00E01219" w:rsidRDefault="00E01219" w:rsidP="00E01219">
            <w:pPr>
              <w:spacing w:before="100" w:after="0" w:line="240" w:lineRule="auto"/>
              <w:rPr>
                <w:rFonts w:ascii="Times New Roman" w:eastAsia="Times New Roman" w:hAnsi="Times New Roman" w:cs="Times New Roman"/>
                <w:sz w:val="24"/>
                <w:szCs w:val="24"/>
                <w:lang w:eastAsia="en-CA"/>
              </w:rPr>
            </w:pPr>
            <w:r w:rsidRPr="00E01219">
              <w:rPr>
                <w:rFonts w:ascii="Calibri Light" w:eastAsia="Times New Roman" w:hAnsi="Calibri Light" w:cs="Times New Roman"/>
                <w:sz w:val="20"/>
                <w:szCs w:val="20"/>
                <w:lang w:eastAsia="en-CA"/>
              </w:rPr>
              <w:t> </w:t>
            </w:r>
          </w:p>
        </w:tc>
      </w:tr>
      <w:tr w:rsidR="00E01219" w:rsidRPr="00E01219" w:rsidTr="00E01219">
        <w:tc>
          <w:tcPr>
            <w:tcW w:w="9350" w:type="dxa"/>
            <w:gridSpan w:val="7"/>
            <w:tcMar>
              <w:top w:w="0" w:type="dxa"/>
              <w:left w:w="108" w:type="dxa"/>
              <w:bottom w:w="0" w:type="dxa"/>
              <w:right w:w="108" w:type="dxa"/>
            </w:tcMar>
            <w:hideMark/>
          </w:tcPr>
          <w:p w:rsidR="00E01219" w:rsidRPr="00E01219" w:rsidRDefault="00E01219" w:rsidP="00E01219">
            <w:pPr>
              <w:spacing w:before="100" w:after="0" w:line="120" w:lineRule="auto"/>
              <w:jc w:val="center"/>
              <w:rPr>
                <w:rFonts w:ascii="Times New Roman" w:eastAsia="Times New Roman" w:hAnsi="Times New Roman" w:cs="Times New Roman"/>
                <w:sz w:val="24"/>
                <w:szCs w:val="24"/>
                <w:lang w:eastAsia="en-CA"/>
              </w:rPr>
            </w:pPr>
            <w:r w:rsidRPr="00E01219">
              <w:rPr>
                <w:rFonts w:ascii="Calibri Light" w:eastAsia="Times New Roman" w:hAnsi="Calibri Light" w:cs="Times New Roman"/>
                <w:i/>
                <w:iCs/>
                <w:sz w:val="16"/>
                <w:szCs w:val="16"/>
                <w:lang w:eastAsia="en-CA"/>
              </w:rPr>
              <w:t>Les données contenues dans ce document sont censées être exactes et fiables, mais aucune garantie expresse ou implicite n'est faite en ce qui concerne l'exactitude de ces données ou sa durabilité pour une situation donnée.</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i/>
                <w:iCs/>
                <w:sz w:val="16"/>
                <w:szCs w:val="16"/>
                <w:lang w:eastAsia="en-CA"/>
              </w:rPr>
              <w:t>Ces données concernent uniquement le produit spécifique décrit et non un tel produit en combinaison avec un autre produit.</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i/>
                <w:iCs/>
                <w:sz w:val="16"/>
                <w:szCs w:val="16"/>
                <w:lang w:eastAsia="en-CA"/>
              </w:rPr>
              <w:t>Nous déclinons toute responsabilité pour toute mesure prise ou abandonnée sur la fiabilité de ces données.</w:t>
            </w:r>
            <w:r w:rsidRPr="00E01219">
              <w:rPr>
                <w:rFonts w:ascii="Times New Roman" w:eastAsia="Times New Roman" w:hAnsi="Times New Roman" w:cs="Times New Roman"/>
                <w:sz w:val="24"/>
                <w:szCs w:val="24"/>
                <w:lang w:eastAsia="en-CA"/>
              </w:rPr>
              <w:t> </w:t>
            </w:r>
            <w:r w:rsidRPr="00E01219">
              <w:rPr>
                <w:rFonts w:ascii="Calibri Light" w:eastAsia="Times New Roman" w:hAnsi="Calibri Light" w:cs="Times New Roman"/>
                <w:i/>
                <w:iCs/>
                <w:sz w:val="16"/>
                <w:szCs w:val="16"/>
                <w:lang w:eastAsia="en-CA"/>
              </w:rPr>
              <w:t>Les utilisateurs devraient faire leur propre enquête pour déterminer la pertinence de l'information pour les fins particulières.</w:t>
            </w:r>
          </w:p>
        </w:tc>
      </w:tr>
    </w:tbl>
    <w:p w:rsidR="00FF7A60" w:rsidRDefault="00FF7A60"/>
    <w:sectPr w:rsidR="00FF7A6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219" w:rsidRDefault="00E01219" w:rsidP="00E01219">
      <w:pPr>
        <w:spacing w:after="0" w:line="240" w:lineRule="auto"/>
      </w:pPr>
      <w:r>
        <w:separator/>
      </w:r>
    </w:p>
  </w:endnote>
  <w:endnote w:type="continuationSeparator" w:id="0">
    <w:p w:rsidR="00E01219" w:rsidRDefault="00E01219" w:rsidP="00E0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19" w:rsidRPr="00E01219" w:rsidRDefault="00E01219">
    <w:pPr>
      <w:pStyle w:val="Footer"/>
      <w:rPr>
        <w:b/>
        <w:bCs/>
        <w:sz w:val="18"/>
      </w:rPr>
    </w:pPr>
    <w:r w:rsidRPr="00E01219">
      <w:rPr>
        <w:sz w:val="18"/>
      </w:rPr>
      <w:t>Francais</w:t>
    </w:r>
    <w:r w:rsidRPr="00E01219">
      <w:rPr>
        <w:sz w:val="18"/>
      </w:rPr>
      <w:tab/>
    </w:r>
    <w:r w:rsidRPr="00E01219">
      <w:rPr>
        <w:sz w:val="18"/>
      </w:rPr>
      <w:tab/>
      <w:t xml:space="preserve">Page </w:t>
    </w:r>
    <w:r w:rsidRPr="00E01219">
      <w:rPr>
        <w:b/>
        <w:bCs/>
        <w:sz w:val="18"/>
      </w:rPr>
      <w:fldChar w:fldCharType="begin"/>
    </w:r>
    <w:r w:rsidRPr="00E01219">
      <w:rPr>
        <w:b/>
        <w:bCs/>
        <w:sz w:val="18"/>
      </w:rPr>
      <w:instrText xml:space="preserve"> PAGE  \* Arabic  \* MERGEFORMAT </w:instrText>
    </w:r>
    <w:r w:rsidRPr="00E01219">
      <w:rPr>
        <w:b/>
        <w:bCs/>
        <w:sz w:val="18"/>
      </w:rPr>
      <w:fldChar w:fldCharType="separate"/>
    </w:r>
    <w:r w:rsidR="00E200DB">
      <w:rPr>
        <w:b/>
        <w:bCs/>
        <w:noProof/>
        <w:sz w:val="18"/>
      </w:rPr>
      <w:t>2</w:t>
    </w:r>
    <w:r w:rsidRPr="00E01219">
      <w:rPr>
        <w:b/>
        <w:bCs/>
        <w:sz w:val="18"/>
      </w:rPr>
      <w:fldChar w:fldCharType="end"/>
    </w:r>
    <w:r w:rsidRPr="00E01219">
      <w:rPr>
        <w:sz w:val="18"/>
      </w:rPr>
      <w:t xml:space="preserve"> of </w:t>
    </w:r>
    <w:r w:rsidRPr="00E01219">
      <w:rPr>
        <w:b/>
        <w:bCs/>
        <w:sz w:val="18"/>
      </w:rPr>
      <w:fldChar w:fldCharType="begin"/>
    </w:r>
    <w:r w:rsidRPr="00E01219">
      <w:rPr>
        <w:b/>
        <w:bCs/>
        <w:sz w:val="18"/>
      </w:rPr>
      <w:instrText xml:space="preserve"> NUMPAGES  \* Arabic  \* MERGEFORMAT </w:instrText>
    </w:r>
    <w:r w:rsidRPr="00E01219">
      <w:rPr>
        <w:b/>
        <w:bCs/>
        <w:sz w:val="18"/>
      </w:rPr>
      <w:fldChar w:fldCharType="separate"/>
    </w:r>
    <w:r w:rsidR="00E200DB">
      <w:rPr>
        <w:b/>
        <w:bCs/>
        <w:noProof/>
        <w:sz w:val="18"/>
      </w:rPr>
      <w:t>7</w:t>
    </w:r>
    <w:r w:rsidRPr="00E01219">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219" w:rsidRDefault="00E01219" w:rsidP="00E01219">
      <w:pPr>
        <w:spacing w:after="0" w:line="240" w:lineRule="auto"/>
      </w:pPr>
      <w:r>
        <w:separator/>
      </w:r>
    </w:p>
  </w:footnote>
  <w:footnote w:type="continuationSeparator" w:id="0">
    <w:p w:rsidR="00E01219" w:rsidRDefault="00E01219" w:rsidP="00E012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19"/>
    <w:rsid w:val="00E01219"/>
    <w:rsid w:val="00E200DB"/>
    <w:rsid w:val="00FF7A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EFE16B0"/>
  <w15:chartTrackingRefBased/>
  <w15:docId w15:val="{D4C5D566-31C7-40E6-A3A6-6A9C0F82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121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translate">
    <w:name w:val="notranslate"/>
    <w:basedOn w:val="DefaultParagraphFont"/>
    <w:rsid w:val="00E01219"/>
  </w:style>
  <w:style w:type="character" w:styleId="Hyperlink">
    <w:name w:val="Hyperlink"/>
    <w:basedOn w:val="DefaultParagraphFont"/>
    <w:uiPriority w:val="99"/>
    <w:semiHidden/>
    <w:unhideWhenUsed/>
    <w:rsid w:val="00E01219"/>
    <w:rPr>
      <w:color w:val="0000FF"/>
      <w:u w:val="single"/>
    </w:rPr>
  </w:style>
  <w:style w:type="paragraph" w:styleId="Header">
    <w:name w:val="header"/>
    <w:basedOn w:val="Normal"/>
    <w:link w:val="HeaderChar"/>
    <w:uiPriority w:val="99"/>
    <w:unhideWhenUsed/>
    <w:rsid w:val="00E01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219"/>
  </w:style>
  <w:style w:type="paragraph" w:styleId="Footer">
    <w:name w:val="footer"/>
    <w:basedOn w:val="Normal"/>
    <w:link w:val="FooterChar"/>
    <w:uiPriority w:val="99"/>
    <w:unhideWhenUsed/>
    <w:rsid w:val="00E01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0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c@nscmineral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ranslate.google.com/translate?hl=en&amp;prev=_t&amp;sl=en&amp;tl=fr&amp;u=http://www.nscmineral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Markson</dc:creator>
  <cp:keywords/>
  <dc:description/>
  <cp:lastModifiedBy>Whitney Markson</cp:lastModifiedBy>
  <cp:revision>2</cp:revision>
  <dcterms:created xsi:type="dcterms:W3CDTF">2018-04-23T17:15:00Z</dcterms:created>
  <dcterms:modified xsi:type="dcterms:W3CDTF">2018-04-23T17:26:00Z</dcterms:modified>
</cp:coreProperties>
</file>