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219" w:rsidRPr="00E01219" w:rsidRDefault="00E01219" w:rsidP="00E01219">
      <w:pPr>
        <w:spacing w:before="100" w:after="0" w:line="240" w:lineRule="auto"/>
        <w:jc w:val="right"/>
        <w:rPr>
          <w:rFonts w:ascii="Times New Roman" w:eastAsia="Times New Roman" w:hAnsi="Times New Roman" w:cs="Times New Roman"/>
          <w:color w:val="000000"/>
          <w:sz w:val="27"/>
          <w:szCs w:val="27"/>
          <w:lang w:eastAsia="en-CA"/>
        </w:rPr>
      </w:pPr>
      <w:r>
        <w:rPr>
          <w:rFonts w:ascii="Calibri Light" w:eastAsia="Times New Roman" w:hAnsi="Calibri Light" w:cs="Times New Roman"/>
          <w:b/>
          <w:bCs/>
          <w:noProof/>
          <w:color w:val="000000"/>
          <w:sz w:val="48"/>
          <w:szCs w:val="48"/>
          <w:lang w:eastAsia="en-CA"/>
        </w:rPr>
        <w:drawing>
          <wp:anchor distT="0" distB="0" distL="114300" distR="114300" simplePos="0" relativeHeight="251659264" behindDoc="0" locked="0" layoutInCell="1" allowOverlap="1">
            <wp:simplePos x="0" y="0"/>
            <wp:positionH relativeFrom="column">
              <wp:posOffset>19050</wp:posOffset>
            </wp:positionH>
            <wp:positionV relativeFrom="paragraph">
              <wp:posOffset>47625</wp:posOffset>
            </wp:positionV>
            <wp:extent cx="883920" cy="6705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3920" cy="670560"/>
                    </a:xfrm>
                    <a:prstGeom prst="rect">
                      <a:avLst/>
                    </a:prstGeom>
                    <a:noFill/>
                  </pic:spPr>
                </pic:pic>
              </a:graphicData>
            </a:graphic>
          </wp:anchor>
        </w:drawing>
      </w:r>
      <w:r w:rsidRPr="00E01219">
        <w:rPr>
          <w:rFonts w:ascii="Calibri Light" w:eastAsia="Times New Roman" w:hAnsi="Calibri Light" w:cs="Times New Roman"/>
          <w:b/>
          <w:bCs/>
          <w:color w:val="000000"/>
          <w:sz w:val="48"/>
          <w:szCs w:val="48"/>
          <w:lang w:eastAsia="en-CA"/>
        </w:rPr>
        <w:t>Fiche de données de sécurité</w:t>
      </w:r>
    </w:p>
    <w:p w:rsidR="00E01219" w:rsidRPr="00E01219" w:rsidRDefault="00E01219" w:rsidP="00E01219">
      <w:pPr>
        <w:spacing w:before="100" w:after="0" w:line="240" w:lineRule="auto"/>
        <w:jc w:val="right"/>
        <w:rPr>
          <w:rFonts w:ascii="Times New Roman" w:eastAsia="Times New Roman" w:hAnsi="Times New Roman" w:cs="Times New Roman"/>
          <w:color w:val="000000"/>
          <w:sz w:val="27"/>
          <w:szCs w:val="27"/>
          <w:lang w:eastAsia="en-CA"/>
        </w:rPr>
      </w:pPr>
      <w:r w:rsidRPr="00E01219">
        <w:rPr>
          <w:rFonts w:ascii="Calibri Light" w:eastAsia="Times New Roman" w:hAnsi="Calibri Light" w:cs="Times New Roman"/>
          <w:b/>
          <w:bCs/>
          <w:color w:val="000000"/>
          <w:sz w:val="36"/>
          <w:szCs w:val="36"/>
          <w:lang w:eastAsia="en-CA"/>
        </w:rPr>
        <w:t>SEL</w:t>
      </w:r>
      <w:r w:rsidRPr="00E01219">
        <w:rPr>
          <w:rFonts w:ascii="Times New Roman" w:eastAsia="Times New Roman" w:hAnsi="Times New Roman" w:cs="Times New Roman"/>
          <w:color w:val="000000"/>
          <w:sz w:val="27"/>
          <w:szCs w:val="27"/>
          <w:lang w:eastAsia="en-CA"/>
        </w:rPr>
        <w:t> </w:t>
      </w:r>
      <w:proofErr w:type="gramStart"/>
      <w:r w:rsidRPr="00E01219">
        <w:rPr>
          <w:rFonts w:ascii="Calibri Light" w:eastAsia="Times New Roman" w:hAnsi="Calibri Light" w:cs="Times New Roman"/>
          <w:b/>
          <w:bCs/>
          <w:color w:val="000000"/>
          <w:sz w:val="36"/>
          <w:szCs w:val="36"/>
          <w:lang w:eastAsia="en-CA"/>
        </w:rPr>
        <w:t>(</w:t>
      </w:r>
      <w:r w:rsidRPr="00E01219">
        <w:rPr>
          <w:rFonts w:ascii="Times New Roman" w:eastAsia="Times New Roman" w:hAnsi="Times New Roman" w:cs="Times New Roman"/>
          <w:color w:val="000000"/>
          <w:sz w:val="27"/>
          <w:szCs w:val="27"/>
          <w:lang w:eastAsia="en-CA"/>
        </w:rPr>
        <w:t> </w:t>
      </w:r>
      <w:r w:rsidRPr="00E01219">
        <w:rPr>
          <w:rFonts w:ascii="Calibri Light" w:eastAsia="Times New Roman" w:hAnsi="Calibri Light" w:cs="Times New Roman"/>
          <w:b/>
          <w:bCs/>
          <w:color w:val="000000"/>
          <w:sz w:val="36"/>
          <w:szCs w:val="36"/>
          <w:lang w:eastAsia="en-CA"/>
        </w:rPr>
        <w:t>Chlorure</w:t>
      </w:r>
      <w:proofErr w:type="gramEnd"/>
      <w:r w:rsidRPr="00E01219">
        <w:rPr>
          <w:rFonts w:ascii="Calibri Light" w:eastAsia="Times New Roman" w:hAnsi="Calibri Light" w:cs="Times New Roman"/>
          <w:b/>
          <w:bCs/>
          <w:color w:val="000000"/>
          <w:sz w:val="36"/>
          <w:szCs w:val="36"/>
          <w:lang w:eastAsia="en-CA"/>
        </w:rPr>
        <w:t xml:space="preserve"> de sodium</w:t>
      </w:r>
      <w:r w:rsidRPr="00E01219">
        <w:rPr>
          <w:rFonts w:ascii="Times New Roman" w:eastAsia="Times New Roman" w:hAnsi="Times New Roman" w:cs="Times New Roman"/>
          <w:color w:val="000000"/>
          <w:sz w:val="27"/>
          <w:szCs w:val="27"/>
          <w:lang w:eastAsia="en-CA"/>
        </w:rPr>
        <w:t> </w:t>
      </w:r>
      <w:r w:rsidRPr="00E01219">
        <w:rPr>
          <w:rFonts w:ascii="Calibri Light" w:eastAsia="Times New Roman" w:hAnsi="Calibri Light" w:cs="Times New Roman"/>
          <w:b/>
          <w:bCs/>
          <w:color w:val="000000"/>
          <w:sz w:val="36"/>
          <w:szCs w:val="36"/>
          <w:lang w:eastAsia="en-CA"/>
        </w:rPr>
        <w:t>)</w:t>
      </w:r>
    </w:p>
    <w:tbl>
      <w:tblPr>
        <w:tblW w:w="9936" w:type="dxa"/>
        <w:tblCellMar>
          <w:left w:w="0" w:type="dxa"/>
          <w:right w:w="0" w:type="dxa"/>
        </w:tblCellMar>
        <w:tblLook w:val="04A0" w:firstRow="1" w:lastRow="0" w:firstColumn="1" w:lastColumn="0" w:noHBand="0" w:noVBand="1"/>
      </w:tblPr>
      <w:tblGrid>
        <w:gridCol w:w="2135"/>
        <w:gridCol w:w="212"/>
        <w:gridCol w:w="443"/>
        <w:gridCol w:w="3329"/>
        <w:gridCol w:w="3231"/>
        <w:gridCol w:w="586"/>
      </w:tblGrid>
      <w:tr w:rsidR="00E01219" w:rsidRPr="00E01219" w:rsidTr="00E01219">
        <w:tc>
          <w:tcPr>
            <w:tcW w:w="9350" w:type="dxa"/>
            <w:gridSpan w:val="5"/>
            <w:shd w:val="clear" w:color="auto" w:fill="C5E0B3"/>
            <w:tcMar>
              <w:top w:w="0" w:type="dxa"/>
              <w:left w:w="108" w:type="dxa"/>
              <w:bottom w:w="0" w:type="dxa"/>
              <w:right w:w="108" w:type="dxa"/>
            </w:tcMar>
            <w:vAlign w:val="center"/>
            <w:hideMark/>
          </w:tcPr>
          <w:p w:rsidR="00E01219" w:rsidRPr="00E01219" w:rsidRDefault="00E01219" w:rsidP="00E01219">
            <w:pPr>
              <w:spacing w:before="100" w:after="0" w:line="253" w:lineRule="atLeast"/>
              <w:rPr>
                <w:rFonts w:ascii="Times New Roman" w:eastAsia="Times New Roman" w:hAnsi="Times New Roman" w:cs="Times New Roman"/>
                <w:lang w:eastAsia="en-CA"/>
              </w:rPr>
            </w:pPr>
            <w:r w:rsidRPr="00E01219">
              <w:rPr>
                <w:rFonts w:ascii="Calibri Light" w:eastAsia="Times New Roman" w:hAnsi="Calibri Light" w:cs="Times New Roman"/>
                <w:b/>
                <w:bCs/>
                <w:lang w:eastAsia="en-CA"/>
              </w:rPr>
              <w:t>SECTION 1. IDENTIFICATION</w:t>
            </w:r>
          </w:p>
        </w:tc>
        <w:tc>
          <w:tcPr>
            <w:tcW w:w="0" w:type="auto"/>
            <w:hideMark/>
          </w:tcPr>
          <w:p w:rsidR="00E01219" w:rsidRPr="00E01219" w:rsidRDefault="00E01219" w:rsidP="00E01219">
            <w:pPr>
              <w:spacing w:after="0" w:line="240" w:lineRule="auto"/>
              <w:rPr>
                <w:rFonts w:ascii="Times New Roman" w:eastAsia="Times New Roman" w:hAnsi="Times New Roman" w:cs="Times New Roman"/>
                <w:lang w:eastAsia="en-CA"/>
              </w:rPr>
            </w:pPr>
          </w:p>
        </w:tc>
      </w:tr>
      <w:tr w:rsidR="00E01219" w:rsidRPr="00E01219" w:rsidTr="00E01219">
        <w:tc>
          <w:tcPr>
            <w:tcW w:w="2135" w:type="dxa"/>
            <w:tcMar>
              <w:top w:w="0" w:type="dxa"/>
              <w:left w:w="108" w:type="dxa"/>
              <w:bottom w:w="0" w:type="dxa"/>
              <w:right w:w="108" w:type="dxa"/>
            </w:tcMar>
            <w:hideMark/>
          </w:tcPr>
          <w:p w:rsidR="00E01219" w:rsidRPr="00E01219" w:rsidRDefault="00E01219" w:rsidP="00E01219">
            <w:pPr>
              <w:spacing w:after="0" w:line="230" w:lineRule="atLeast"/>
              <w:rPr>
                <w:rFonts w:ascii="Times New Roman" w:eastAsia="Times New Roman" w:hAnsi="Times New Roman" w:cs="Times New Roman"/>
                <w:sz w:val="20"/>
                <w:szCs w:val="20"/>
                <w:lang w:eastAsia="en-CA"/>
              </w:rPr>
            </w:pPr>
            <w:r w:rsidRPr="00E01219">
              <w:rPr>
                <w:rFonts w:ascii="Calibri Light" w:eastAsia="Times New Roman" w:hAnsi="Calibri Light" w:cs="Times New Roman"/>
                <w:b/>
                <w:bCs/>
                <w:sz w:val="20"/>
                <w:szCs w:val="20"/>
                <w:lang w:eastAsia="en-CA"/>
              </w:rPr>
              <w:t>Étiquette d'un produit</w:t>
            </w:r>
          </w:p>
        </w:tc>
        <w:tc>
          <w:tcPr>
            <w:tcW w:w="7215" w:type="dxa"/>
            <w:gridSpan w:val="4"/>
            <w:tcMar>
              <w:top w:w="0" w:type="dxa"/>
              <w:left w:w="108" w:type="dxa"/>
              <w:bottom w:w="0" w:type="dxa"/>
              <w:right w:w="108" w:type="dxa"/>
            </w:tcMar>
            <w:hideMark/>
          </w:tcPr>
          <w:p w:rsidR="00E01219" w:rsidRPr="00E01219" w:rsidRDefault="00E01219" w:rsidP="00E01219">
            <w:pPr>
              <w:spacing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Sel</w:t>
            </w:r>
          </w:p>
        </w:tc>
        <w:tc>
          <w:tcPr>
            <w:tcW w:w="0" w:type="auto"/>
            <w:hideMark/>
          </w:tcPr>
          <w:p w:rsidR="00E01219" w:rsidRPr="00E01219" w:rsidRDefault="00E01219" w:rsidP="00E01219">
            <w:pPr>
              <w:spacing w:after="0" w:line="240" w:lineRule="auto"/>
              <w:rPr>
                <w:rFonts w:ascii="Times New Roman" w:eastAsia="Times New Roman" w:hAnsi="Times New Roman" w:cs="Times New Roman"/>
                <w:sz w:val="24"/>
                <w:szCs w:val="24"/>
                <w:lang w:eastAsia="en-CA"/>
              </w:rPr>
            </w:pPr>
          </w:p>
        </w:tc>
      </w:tr>
      <w:tr w:rsidR="00E01219" w:rsidRPr="00E01219" w:rsidTr="00E01219">
        <w:tc>
          <w:tcPr>
            <w:tcW w:w="2135" w:type="dxa"/>
            <w:tcMar>
              <w:top w:w="0" w:type="dxa"/>
              <w:left w:w="108" w:type="dxa"/>
              <w:bottom w:w="0" w:type="dxa"/>
              <w:right w:w="108" w:type="dxa"/>
            </w:tcMar>
            <w:hideMark/>
          </w:tcPr>
          <w:p w:rsidR="00E01219" w:rsidRPr="00E01219" w:rsidRDefault="00E01219" w:rsidP="00E01219">
            <w:pPr>
              <w:spacing w:after="0" w:line="230" w:lineRule="atLeast"/>
              <w:rPr>
                <w:rFonts w:ascii="Times New Roman" w:eastAsia="Times New Roman" w:hAnsi="Times New Roman" w:cs="Times New Roman"/>
                <w:sz w:val="20"/>
                <w:szCs w:val="20"/>
                <w:lang w:eastAsia="en-CA"/>
              </w:rPr>
            </w:pPr>
            <w:r w:rsidRPr="00E01219">
              <w:rPr>
                <w:rFonts w:ascii="Calibri Light" w:eastAsia="Times New Roman" w:hAnsi="Calibri Light" w:cs="Times New Roman"/>
                <w:b/>
                <w:bCs/>
                <w:sz w:val="20"/>
                <w:szCs w:val="20"/>
                <w:lang w:eastAsia="en-CA"/>
              </w:rPr>
              <w:t>Autres moyens d'identification</w:t>
            </w:r>
          </w:p>
        </w:tc>
        <w:tc>
          <w:tcPr>
            <w:tcW w:w="7215" w:type="dxa"/>
            <w:gridSpan w:val="4"/>
            <w:tcMar>
              <w:top w:w="0" w:type="dxa"/>
              <w:left w:w="108" w:type="dxa"/>
              <w:bottom w:w="0" w:type="dxa"/>
              <w:right w:w="108" w:type="dxa"/>
            </w:tcMar>
            <w:hideMark/>
          </w:tcPr>
          <w:p w:rsidR="00E01219" w:rsidRPr="00E01219" w:rsidRDefault="00E01219" w:rsidP="00E01219">
            <w:pPr>
              <w:spacing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Chlorure de sodium, sel brut, sel de déglaçage, sel adoucissant, sel alimentaire, sel industriel, sel de peau, Rocanville grossier, Rocanville Standard, Rocanville Fine, Vanscoy grossier, Vanscoy Standard, Sel de bain, Exfoliant, Ice Biter, SALTZ TOUS Gros sel, sel fin</w:t>
            </w:r>
          </w:p>
        </w:tc>
        <w:tc>
          <w:tcPr>
            <w:tcW w:w="0" w:type="auto"/>
            <w:hideMark/>
          </w:tcPr>
          <w:p w:rsidR="00E01219" w:rsidRPr="00E01219" w:rsidRDefault="00E01219" w:rsidP="00E01219">
            <w:pPr>
              <w:spacing w:after="0" w:line="240" w:lineRule="auto"/>
              <w:rPr>
                <w:rFonts w:ascii="Times New Roman" w:eastAsia="Times New Roman" w:hAnsi="Times New Roman" w:cs="Times New Roman"/>
                <w:sz w:val="24"/>
                <w:szCs w:val="24"/>
                <w:lang w:eastAsia="en-CA"/>
              </w:rPr>
            </w:pPr>
          </w:p>
        </w:tc>
      </w:tr>
      <w:tr w:rsidR="00E01219" w:rsidRPr="00E01219" w:rsidTr="00E01219">
        <w:tc>
          <w:tcPr>
            <w:tcW w:w="2135" w:type="dxa"/>
            <w:tcMar>
              <w:top w:w="0" w:type="dxa"/>
              <w:left w:w="108" w:type="dxa"/>
              <w:bottom w:w="0" w:type="dxa"/>
              <w:right w:w="108" w:type="dxa"/>
            </w:tcMar>
            <w:hideMark/>
          </w:tcPr>
          <w:p w:rsidR="00E01219" w:rsidRPr="00E01219" w:rsidRDefault="00E01219" w:rsidP="00E01219">
            <w:pPr>
              <w:spacing w:after="0" w:line="230" w:lineRule="atLeast"/>
              <w:rPr>
                <w:rFonts w:ascii="Times New Roman" w:eastAsia="Times New Roman" w:hAnsi="Times New Roman" w:cs="Times New Roman"/>
                <w:sz w:val="20"/>
                <w:szCs w:val="20"/>
                <w:lang w:eastAsia="en-CA"/>
              </w:rPr>
            </w:pPr>
            <w:r w:rsidRPr="00E01219">
              <w:rPr>
                <w:rFonts w:ascii="Calibri Light" w:eastAsia="Times New Roman" w:hAnsi="Calibri Light" w:cs="Times New Roman"/>
                <w:b/>
                <w:bCs/>
                <w:sz w:val="20"/>
                <w:szCs w:val="20"/>
                <w:lang w:eastAsia="en-CA"/>
              </w:rPr>
              <w:t>Utilisation recommandée</w:t>
            </w:r>
          </w:p>
        </w:tc>
        <w:tc>
          <w:tcPr>
            <w:tcW w:w="7215" w:type="dxa"/>
            <w:gridSpan w:val="4"/>
            <w:tcMar>
              <w:top w:w="0" w:type="dxa"/>
              <w:left w:w="108" w:type="dxa"/>
              <w:bottom w:w="0" w:type="dxa"/>
              <w:right w:w="108" w:type="dxa"/>
            </w:tcMar>
            <w:hideMark/>
          </w:tcPr>
          <w:p w:rsidR="00E01219" w:rsidRPr="00E01219" w:rsidRDefault="00E01219" w:rsidP="00E01219">
            <w:pPr>
              <w:spacing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pacing w:val="-1"/>
                <w:sz w:val="20"/>
                <w:szCs w:val="20"/>
                <w:lang w:eastAsia="en-CA"/>
              </w:rPr>
              <w:t>Industriel, De-Icer, Alimentation, Cacher, Adoucissement de l'eau, Sel de bain</w:t>
            </w:r>
          </w:p>
        </w:tc>
        <w:tc>
          <w:tcPr>
            <w:tcW w:w="0" w:type="auto"/>
            <w:hideMark/>
          </w:tcPr>
          <w:p w:rsidR="00E01219" w:rsidRPr="00E01219" w:rsidRDefault="00E01219" w:rsidP="00E01219">
            <w:pPr>
              <w:spacing w:after="0" w:line="240" w:lineRule="auto"/>
              <w:rPr>
                <w:rFonts w:ascii="Times New Roman" w:eastAsia="Times New Roman" w:hAnsi="Times New Roman" w:cs="Times New Roman"/>
                <w:sz w:val="24"/>
                <w:szCs w:val="24"/>
                <w:lang w:eastAsia="en-CA"/>
              </w:rPr>
            </w:pPr>
          </w:p>
        </w:tc>
      </w:tr>
      <w:tr w:rsidR="00E01219" w:rsidRPr="00E01219" w:rsidTr="00E01219">
        <w:tc>
          <w:tcPr>
            <w:tcW w:w="2135" w:type="dxa"/>
            <w:tcMar>
              <w:top w:w="0" w:type="dxa"/>
              <w:left w:w="108" w:type="dxa"/>
              <w:bottom w:w="0" w:type="dxa"/>
              <w:right w:w="108" w:type="dxa"/>
            </w:tcMar>
            <w:hideMark/>
          </w:tcPr>
          <w:p w:rsidR="00E01219" w:rsidRPr="00E01219" w:rsidRDefault="00E01219" w:rsidP="00E01219">
            <w:pPr>
              <w:spacing w:after="0" w:line="230" w:lineRule="atLeast"/>
              <w:rPr>
                <w:rFonts w:ascii="Times New Roman" w:eastAsia="Times New Roman" w:hAnsi="Times New Roman" w:cs="Times New Roman"/>
                <w:sz w:val="20"/>
                <w:szCs w:val="20"/>
                <w:lang w:eastAsia="en-CA"/>
              </w:rPr>
            </w:pPr>
            <w:r w:rsidRPr="00E01219">
              <w:rPr>
                <w:rFonts w:ascii="Calibri Light" w:eastAsia="Times New Roman" w:hAnsi="Calibri Light" w:cs="Times New Roman"/>
                <w:b/>
                <w:bCs/>
                <w:sz w:val="20"/>
                <w:szCs w:val="20"/>
                <w:lang w:eastAsia="en-CA"/>
              </w:rPr>
              <w:t>Restrictions d'utilisation</w:t>
            </w:r>
          </w:p>
        </w:tc>
        <w:tc>
          <w:tcPr>
            <w:tcW w:w="7215" w:type="dxa"/>
            <w:gridSpan w:val="4"/>
            <w:tcMar>
              <w:top w:w="0" w:type="dxa"/>
              <w:left w:w="108" w:type="dxa"/>
              <w:bottom w:w="0" w:type="dxa"/>
              <w:right w:w="108" w:type="dxa"/>
            </w:tcMar>
            <w:hideMark/>
          </w:tcPr>
          <w:p w:rsidR="00E01219" w:rsidRPr="00E01219" w:rsidRDefault="00E01219" w:rsidP="00E01219">
            <w:pPr>
              <w:spacing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Pas pour l'ingestion</w:t>
            </w:r>
          </w:p>
          <w:p w:rsidR="00E01219" w:rsidRPr="00E01219" w:rsidRDefault="00E01219" w:rsidP="00E01219">
            <w:pPr>
              <w:spacing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 </w:t>
            </w:r>
          </w:p>
        </w:tc>
        <w:tc>
          <w:tcPr>
            <w:tcW w:w="0" w:type="auto"/>
            <w:hideMark/>
          </w:tcPr>
          <w:p w:rsidR="00E01219" w:rsidRPr="00E01219" w:rsidRDefault="00E01219" w:rsidP="00E01219">
            <w:pPr>
              <w:spacing w:after="0" w:line="240" w:lineRule="auto"/>
              <w:rPr>
                <w:rFonts w:ascii="Times New Roman" w:eastAsia="Times New Roman" w:hAnsi="Times New Roman" w:cs="Times New Roman"/>
                <w:sz w:val="24"/>
                <w:szCs w:val="24"/>
                <w:lang w:eastAsia="en-CA"/>
              </w:rPr>
            </w:pPr>
          </w:p>
        </w:tc>
      </w:tr>
      <w:tr w:rsidR="00E01219" w:rsidRPr="00E01219" w:rsidTr="00E01219">
        <w:tc>
          <w:tcPr>
            <w:tcW w:w="2135" w:type="dxa"/>
            <w:tcMar>
              <w:top w:w="0" w:type="dxa"/>
              <w:left w:w="108" w:type="dxa"/>
              <w:bottom w:w="0" w:type="dxa"/>
              <w:right w:w="108" w:type="dxa"/>
            </w:tcMar>
            <w:hideMark/>
          </w:tcPr>
          <w:p w:rsidR="00E01219" w:rsidRPr="00E01219" w:rsidRDefault="00E01219" w:rsidP="00E01219">
            <w:pPr>
              <w:spacing w:after="0" w:line="230" w:lineRule="atLeast"/>
              <w:rPr>
                <w:rFonts w:ascii="Times New Roman" w:eastAsia="Times New Roman" w:hAnsi="Times New Roman" w:cs="Times New Roman"/>
                <w:sz w:val="20"/>
                <w:szCs w:val="20"/>
                <w:lang w:eastAsia="en-CA"/>
              </w:rPr>
            </w:pPr>
            <w:r w:rsidRPr="00E01219">
              <w:rPr>
                <w:rFonts w:ascii="Calibri Light" w:eastAsia="Times New Roman" w:hAnsi="Calibri Light" w:cs="Times New Roman"/>
                <w:b/>
                <w:bCs/>
                <w:sz w:val="20"/>
                <w:szCs w:val="20"/>
                <w:lang w:eastAsia="en-CA"/>
              </w:rPr>
              <w:t>Identifiant initial du fournisseur</w:t>
            </w:r>
          </w:p>
        </w:tc>
        <w:tc>
          <w:tcPr>
            <w:tcW w:w="7215" w:type="dxa"/>
            <w:gridSpan w:val="4"/>
            <w:tcMar>
              <w:top w:w="0" w:type="dxa"/>
              <w:left w:w="108" w:type="dxa"/>
              <w:bottom w:w="0" w:type="dxa"/>
              <w:right w:w="108" w:type="dxa"/>
            </w:tcMar>
            <w:hideMark/>
          </w:tcPr>
          <w:p w:rsidR="00E01219" w:rsidRPr="00E01219" w:rsidRDefault="00E01219" w:rsidP="00E01219">
            <w:pPr>
              <w:spacing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NSC Minerals Ltd.</w:t>
            </w:r>
          </w:p>
          <w:p w:rsidR="00E01219" w:rsidRPr="00E01219" w:rsidRDefault="00E01219" w:rsidP="00E01219">
            <w:pPr>
              <w:spacing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2241 Speers Ave</w:t>
            </w:r>
          </w:p>
          <w:p w:rsidR="00E01219" w:rsidRPr="00E01219" w:rsidRDefault="00E01219" w:rsidP="00E01219">
            <w:pPr>
              <w:spacing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Saskatoon, SK</w:t>
            </w:r>
          </w:p>
          <w:p w:rsidR="00E01219" w:rsidRPr="00E01219" w:rsidRDefault="00E01219" w:rsidP="00E01219">
            <w:pPr>
              <w:spacing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CANADA</w:t>
            </w:r>
          </w:p>
          <w:p w:rsidR="00E01219" w:rsidRPr="00E01219" w:rsidRDefault="00E01219" w:rsidP="00E01219">
            <w:pPr>
              <w:spacing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S7L 5X6</w:t>
            </w:r>
          </w:p>
          <w:p w:rsidR="00E01219" w:rsidRPr="00E01219" w:rsidRDefault="00E01219" w:rsidP="00E01219">
            <w:pPr>
              <w:spacing w:after="0" w:line="240" w:lineRule="auto"/>
              <w:rPr>
                <w:rFonts w:ascii="Times New Roman" w:eastAsia="Times New Roman" w:hAnsi="Times New Roman" w:cs="Times New Roman"/>
                <w:sz w:val="24"/>
                <w:szCs w:val="24"/>
                <w:lang w:eastAsia="en-CA"/>
              </w:rPr>
            </w:pPr>
            <w:hyperlink r:id="rId7" w:history="1">
              <w:r w:rsidRPr="00E01219">
                <w:rPr>
                  <w:rFonts w:ascii="Calibri Light" w:eastAsia="Times New Roman" w:hAnsi="Calibri Light" w:cs="Times New Roman"/>
                  <w:color w:val="0563C1"/>
                  <w:sz w:val="20"/>
                  <w:szCs w:val="20"/>
                  <w:u w:val="single"/>
                  <w:lang w:eastAsia="en-CA"/>
                </w:rPr>
                <w:t>www.nscminerals.com</w:t>
              </w:r>
            </w:hyperlink>
          </w:p>
          <w:p w:rsidR="00E01219" w:rsidRPr="00E01219" w:rsidRDefault="00E01219" w:rsidP="00E01219">
            <w:pPr>
              <w:spacing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Email:</w:t>
            </w:r>
            <w:r w:rsidRPr="00E01219">
              <w:rPr>
                <w:rFonts w:ascii="Times New Roman" w:eastAsia="Times New Roman" w:hAnsi="Times New Roman" w:cs="Times New Roman"/>
                <w:sz w:val="24"/>
                <w:szCs w:val="24"/>
                <w:lang w:eastAsia="en-CA"/>
              </w:rPr>
              <w:t> </w:t>
            </w:r>
            <w:hyperlink r:id="rId8" w:history="1">
              <w:r w:rsidRPr="00E01219">
                <w:rPr>
                  <w:rFonts w:ascii="Calibri Light" w:eastAsia="Times New Roman" w:hAnsi="Calibri Light" w:cs="Times New Roman"/>
                  <w:color w:val="0563C1"/>
                  <w:sz w:val="20"/>
                  <w:szCs w:val="20"/>
                  <w:u w:val="single"/>
                  <w:lang w:eastAsia="en-CA"/>
                </w:rPr>
                <w:t>nsc@nscminerals.com</w:t>
              </w:r>
            </w:hyperlink>
          </w:p>
          <w:p w:rsidR="00E01219" w:rsidRPr="00E01219" w:rsidRDefault="00E01219" w:rsidP="00E01219">
            <w:pPr>
              <w:spacing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 </w:t>
            </w:r>
          </w:p>
        </w:tc>
        <w:tc>
          <w:tcPr>
            <w:tcW w:w="0" w:type="auto"/>
            <w:hideMark/>
          </w:tcPr>
          <w:p w:rsidR="00E01219" w:rsidRPr="00E01219" w:rsidRDefault="00E01219" w:rsidP="00E01219">
            <w:pPr>
              <w:spacing w:after="0" w:line="240" w:lineRule="auto"/>
              <w:rPr>
                <w:rFonts w:ascii="Times New Roman" w:eastAsia="Times New Roman" w:hAnsi="Times New Roman" w:cs="Times New Roman"/>
                <w:sz w:val="24"/>
                <w:szCs w:val="24"/>
                <w:lang w:eastAsia="en-CA"/>
              </w:rPr>
            </w:pPr>
          </w:p>
        </w:tc>
      </w:tr>
      <w:tr w:rsidR="00E01219" w:rsidRPr="00E01219" w:rsidTr="00E01219">
        <w:tc>
          <w:tcPr>
            <w:tcW w:w="2135" w:type="dxa"/>
            <w:tcMar>
              <w:top w:w="0" w:type="dxa"/>
              <w:left w:w="108" w:type="dxa"/>
              <w:bottom w:w="0" w:type="dxa"/>
              <w:right w:w="108" w:type="dxa"/>
            </w:tcMar>
            <w:hideMark/>
          </w:tcPr>
          <w:p w:rsidR="00E01219" w:rsidRPr="00E01219" w:rsidRDefault="00E01219" w:rsidP="00E01219">
            <w:pPr>
              <w:spacing w:after="0" w:line="230" w:lineRule="atLeast"/>
              <w:rPr>
                <w:rFonts w:ascii="Times New Roman" w:eastAsia="Times New Roman" w:hAnsi="Times New Roman" w:cs="Times New Roman"/>
                <w:sz w:val="20"/>
                <w:szCs w:val="20"/>
                <w:lang w:eastAsia="en-CA"/>
              </w:rPr>
            </w:pPr>
            <w:r w:rsidRPr="00E01219">
              <w:rPr>
                <w:rFonts w:ascii="Calibri Light" w:eastAsia="Times New Roman" w:hAnsi="Calibri Light" w:cs="Times New Roman"/>
                <w:b/>
                <w:bCs/>
                <w:sz w:val="20"/>
                <w:szCs w:val="20"/>
                <w:lang w:eastAsia="en-CA"/>
              </w:rPr>
              <w:t>Numéro d'urgence</w:t>
            </w:r>
          </w:p>
        </w:tc>
        <w:tc>
          <w:tcPr>
            <w:tcW w:w="7215" w:type="dxa"/>
            <w:gridSpan w:val="4"/>
            <w:tcMar>
              <w:top w:w="0" w:type="dxa"/>
              <w:left w:w="108" w:type="dxa"/>
              <w:bottom w:w="0" w:type="dxa"/>
              <w:right w:w="108" w:type="dxa"/>
            </w:tcMar>
            <w:hideMark/>
          </w:tcPr>
          <w:p w:rsidR="00E01219" w:rsidRPr="00E01219" w:rsidRDefault="00E01219" w:rsidP="00E01219">
            <w:pPr>
              <w:spacing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1-306-934-6477 / 1-888-668-7258</w:t>
            </w:r>
          </w:p>
        </w:tc>
        <w:tc>
          <w:tcPr>
            <w:tcW w:w="0" w:type="auto"/>
            <w:hideMark/>
          </w:tcPr>
          <w:p w:rsidR="00E01219" w:rsidRPr="00E01219" w:rsidRDefault="00E01219" w:rsidP="00E01219">
            <w:pPr>
              <w:spacing w:after="0" w:line="240" w:lineRule="auto"/>
              <w:rPr>
                <w:rFonts w:ascii="Times New Roman" w:eastAsia="Times New Roman" w:hAnsi="Times New Roman" w:cs="Times New Roman"/>
                <w:sz w:val="24"/>
                <w:szCs w:val="24"/>
                <w:lang w:eastAsia="en-CA"/>
              </w:rPr>
            </w:pPr>
          </w:p>
        </w:tc>
      </w:tr>
      <w:tr w:rsidR="00E01219" w:rsidRPr="00E01219" w:rsidTr="00E01219">
        <w:tc>
          <w:tcPr>
            <w:tcW w:w="9350" w:type="dxa"/>
            <w:gridSpan w:val="5"/>
            <w:shd w:val="clear" w:color="auto" w:fill="C5E0B3"/>
            <w:tcMar>
              <w:top w:w="0" w:type="dxa"/>
              <w:left w:w="108" w:type="dxa"/>
              <w:bottom w:w="0" w:type="dxa"/>
              <w:right w:w="108" w:type="dxa"/>
            </w:tcMar>
            <w:hideMark/>
          </w:tcPr>
          <w:p w:rsidR="00E01219" w:rsidRPr="00E01219" w:rsidRDefault="00E01219" w:rsidP="00E01219">
            <w:pPr>
              <w:spacing w:before="100" w:after="0" w:line="230" w:lineRule="atLeast"/>
              <w:rPr>
                <w:rFonts w:ascii="Times New Roman" w:eastAsia="Times New Roman" w:hAnsi="Times New Roman" w:cs="Times New Roman"/>
                <w:sz w:val="20"/>
                <w:szCs w:val="20"/>
                <w:lang w:eastAsia="en-CA"/>
              </w:rPr>
            </w:pPr>
            <w:r w:rsidRPr="00E01219">
              <w:rPr>
                <w:rFonts w:ascii="Calibri Light" w:eastAsia="Times New Roman" w:hAnsi="Calibri Light" w:cs="Times New Roman"/>
                <w:b/>
                <w:bCs/>
                <w:sz w:val="20"/>
                <w:szCs w:val="20"/>
                <w:lang w:eastAsia="en-CA"/>
              </w:rPr>
              <w:t>SECTION 2. IDENTIFICATION DES DANGERS</w:t>
            </w:r>
          </w:p>
        </w:tc>
        <w:tc>
          <w:tcPr>
            <w:tcW w:w="0" w:type="auto"/>
            <w:hideMark/>
          </w:tcPr>
          <w:p w:rsidR="00E01219" w:rsidRPr="00E01219" w:rsidRDefault="00E01219" w:rsidP="00E01219">
            <w:pPr>
              <w:spacing w:after="0" w:line="240" w:lineRule="auto"/>
              <w:rPr>
                <w:rFonts w:ascii="Times New Roman" w:eastAsia="Times New Roman" w:hAnsi="Times New Roman" w:cs="Times New Roman"/>
                <w:sz w:val="20"/>
                <w:szCs w:val="20"/>
                <w:lang w:eastAsia="en-CA"/>
              </w:rPr>
            </w:pPr>
          </w:p>
        </w:tc>
      </w:tr>
      <w:tr w:rsidR="00E01219" w:rsidRPr="00E01219" w:rsidTr="00E01219">
        <w:tc>
          <w:tcPr>
            <w:tcW w:w="2135" w:type="dxa"/>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Classification</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Non classé comme substance ou mélange dangereux selon le Système Général Harmonisé (SGH)</w:t>
            </w:r>
          </w:p>
        </w:tc>
        <w:tc>
          <w:tcPr>
            <w:tcW w:w="0" w:type="auto"/>
            <w:hideMark/>
          </w:tcPr>
          <w:p w:rsidR="00E01219" w:rsidRPr="00E01219" w:rsidRDefault="00E01219" w:rsidP="00E01219">
            <w:pPr>
              <w:spacing w:after="0" w:line="240" w:lineRule="auto"/>
              <w:rPr>
                <w:rFonts w:ascii="Times New Roman" w:eastAsia="Times New Roman" w:hAnsi="Times New Roman" w:cs="Times New Roman"/>
                <w:sz w:val="24"/>
                <w:szCs w:val="24"/>
                <w:lang w:eastAsia="en-CA"/>
              </w:rPr>
            </w:pPr>
          </w:p>
        </w:tc>
      </w:tr>
      <w:tr w:rsidR="00E01219" w:rsidRPr="00E01219" w:rsidTr="00E01219">
        <w:tc>
          <w:tcPr>
            <w:tcW w:w="2135" w:type="dxa"/>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Éléments d'étiquetage</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Garder hors de la portée des enfants.</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z w:val="20"/>
                <w:szCs w:val="20"/>
                <w:lang w:eastAsia="en-CA"/>
              </w:rPr>
              <w:t>Nocif en cas d'ingestion.</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z w:val="20"/>
                <w:szCs w:val="20"/>
                <w:lang w:eastAsia="en-CA"/>
              </w:rPr>
              <w:t>Évitez les contractions cutanées et oculaires.</w:t>
            </w:r>
          </w:p>
        </w:tc>
        <w:tc>
          <w:tcPr>
            <w:tcW w:w="0" w:type="auto"/>
            <w:hideMark/>
          </w:tcPr>
          <w:p w:rsidR="00E01219" w:rsidRPr="00E01219" w:rsidRDefault="00E01219" w:rsidP="00E01219">
            <w:pPr>
              <w:spacing w:after="0" w:line="240" w:lineRule="auto"/>
              <w:rPr>
                <w:rFonts w:ascii="Times New Roman" w:eastAsia="Times New Roman" w:hAnsi="Times New Roman" w:cs="Times New Roman"/>
                <w:sz w:val="24"/>
                <w:szCs w:val="24"/>
                <w:lang w:eastAsia="en-CA"/>
              </w:rPr>
            </w:pPr>
          </w:p>
        </w:tc>
      </w:tr>
      <w:tr w:rsidR="00E01219" w:rsidRPr="00E01219" w:rsidTr="00E01219">
        <w:tc>
          <w:tcPr>
            <w:tcW w:w="2135" w:type="dxa"/>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Étiquette Autre</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Pictogrammes et mots d'avertissement non applicables.</w:t>
            </w:r>
          </w:p>
        </w:tc>
        <w:tc>
          <w:tcPr>
            <w:tcW w:w="0" w:type="auto"/>
            <w:hideMark/>
          </w:tcPr>
          <w:p w:rsidR="00E01219" w:rsidRPr="00E01219" w:rsidRDefault="00E01219" w:rsidP="00E01219">
            <w:pPr>
              <w:spacing w:after="0" w:line="240" w:lineRule="auto"/>
              <w:rPr>
                <w:rFonts w:ascii="Times New Roman" w:eastAsia="Times New Roman" w:hAnsi="Times New Roman" w:cs="Times New Roman"/>
                <w:sz w:val="24"/>
                <w:szCs w:val="24"/>
                <w:lang w:eastAsia="en-CA"/>
              </w:rPr>
            </w:pPr>
          </w:p>
        </w:tc>
      </w:tr>
      <w:tr w:rsidR="00E01219" w:rsidRPr="00E01219" w:rsidTr="00E01219">
        <w:tc>
          <w:tcPr>
            <w:tcW w:w="2135" w:type="dxa"/>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Autres dangers</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 </w:t>
            </w:r>
          </w:p>
        </w:tc>
        <w:tc>
          <w:tcPr>
            <w:tcW w:w="0" w:type="auto"/>
            <w:hideMark/>
          </w:tcPr>
          <w:p w:rsidR="00E01219" w:rsidRPr="00E01219" w:rsidRDefault="00E01219" w:rsidP="00E01219">
            <w:pPr>
              <w:spacing w:after="0" w:line="240" w:lineRule="auto"/>
              <w:rPr>
                <w:rFonts w:ascii="Times New Roman" w:eastAsia="Times New Roman" w:hAnsi="Times New Roman" w:cs="Times New Roman"/>
                <w:sz w:val="24"/>
                <w:szCs w:val="24"/>
                <w:lang w:eastAsia="en-CA"/>
              </w:rPr>
            </w:pPr>
          </w:p>
        </w:tc>
      </w:tr>
      <w:tr w:rsidR="00E01219" w:rsidRPr="00E01219" w:rsidTr="00E01219">
        <w:tc>
          <w:tcPr>
            <w:tcW w:w="9350" w:type="dxa"/>
            <w:gridSpan w:val="5"/>
            <w:shd w:val="clear" w:color="auto" w:fill="C5E0B3"/>
            <w:tcMar>
              <w:top w:w="0" w:type="dxa"/>
              <w:left w:w="108" w:type="dxa"/>
              <w:bottom w:w="0" w:type="dxa"/>
              <w:right w:w="108" w:type="dxa"/>
            </w:tcMar>
            <w:hideMark/>
          </w:tcPr>
          <w:p w:rsidR="00E01219" w:rsidRPr="00E01219" w:rsidRDefault="00E01219" w:rsidP="00E01219">
            <w:pPr>
              <w:spacing w:before="100" w:after="0" w:line="230" w:lineRule="atLeast"/>
              <w:rPr>
                <w:rFonts w:ascii="Times New Roman" w:eastAsia="Times New Roman" w:hAnsi="Times New Roman" w:cs="Times New Roman"/>
                <w:sz w:val="20"/>
                <w:szCs w:val="20"/>
                <w:lang w:eastAsia="en-CA"/>
              </w:rPr>
            </w:pPr>
            <w:r w:rsidRPr="00E01219">
              <w:rPr>
                <w:rFonts w:ascii="Calibri Light" w:eastAsia="Times New Roman" w:hAnsi="Calibri Light" w:cs="Times New Roman"/>
                <w:b/>
                <w:bCs/>
                <w:sz w:val="20"/>
                <w:szCs w:val="20"/>
                <w:lang w:eastAsia="en-CA"/>
              </w:rPr>
              <w:t>SECTION 3. COMPOSITION / INFORMATION SUR LES INGRÉDIENTS</w:t>
            </w:r>
          </w:p>
        </w:tc>
        <w:tc>
          <w:tcPr>
            <w:tcW w:w="0" w:type="auto"/>
            <w:hideMark/>
          </w:tcPr>
          <w:p w:rsidR="00E01219" w:rsidRPr="00E01219" w:rsidRDefault="00E01219" w:rsidP="00E01219">
            <w:pPr>
              <w:spacing w:after="0" w:line="240" w:lineRule="auto"/>
              <w:rPr>
                <w:rFonts w:ascii="Times New Roman" w:eastAsia="Times New Roman" w:hAnsi="Times New Roman" w:cs="Times New Roman"/>
                <w:sz w:val="20"/>
                <w:szCs w:val="20"/>
                <w:lang w:eastAsia="en-CA"/>
              </w:rPr>
            </w:pPr>
          </w:p>
        </w:tc>
      </w:tr>
      <w:tr w:rsidR="00E01219" w:rsidRPr="00E01219" w:rsidTr="00E01219">
        <w:tc>
          <w:tcPr>
            <w:tcW w:w="2135" w:type="dxa"/>
            <w:tcMar>
              <w:top w:w="0" w:type="dxa"/>
              <w:left w:w="108" w:type="dxa"/>
              <w:bottom w:w="0" w:type="dxa"/>
              <w:right w:w="108" w:type="dxa"/>
            </w:tcMar>
            <w:hideMark/>
          </w:tcPr>
          <w:p w:rsidR="00E01219" w:rsidRPr="00E01219" w:rsidRDefault="00E01219" w:rsidP="00E01219">
            <w:pPr>
              <w:spacing w:before="100" w:after="0" w:line="230" w:lineRule="atLeast"/>
              <w:rPr>
                <w:rFonts w:ascii="Times New Roman" w:eastAsia="Times New Roman" w:hAnsi="Times New Roman" w:cs="Times New Roman"/>
                <w:sz w:val="20"/>
                <w:szCs w:val="20"/>
                <w:lang w:eastAsia="en-CA"/>
              </w:rPr>
            </w:pPr>
            <w:r w:rsidRPr="00E01219">
              <w:rPr>
                <w:rFonts w:ascii="Calibri Light" w:eastAsia="Times New Roman" w:hAnsi="Calibri Light" w:cs="Times New Roman"/>
                <w:b/>
                <w:bCs/>
                <w:sz w:val="20"/>
                <w:szCs w:val="20"/>
                <w:lang w:eastAsia="en-CA"/>
              </w:rPr>
              <w:t>Nom commun / Synonymes</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30" w:lineRule="atLeast"/>
              <w:rPr>
                <w:rFonts w:ascii="Times New Roman" w:eastAsia="Times New Roman" w:hAnsi="Times New Roman" w:cs="Times New Roman"/>
                <w:sz w:val="20"/>
                <w:szCs w:val="20"/>
                <w:lang w:eastAsia="en-CA"/>
              </w:rPr>
            </w:pPr>
            <w:r w:rsidRPr="00E01219">
              <w:rPr>
                <w:rFonts w:ascii="Calibri Light" w:eastAsia="Times New Roman" w:hAnsi="Calibri Light" w:cs="Times New Roman"/>
                <w:sz w:val="20"/>
                <w:szCs w:val="20"/>
                <w:lang w:eastAsia="en-CA"/>
              </w:rPr>
              <w:t>Sel, Chlorure de sodium, N</w:t>
            </w:r>
            <w:r w:rsidRPr="00E01219">
              <w:rPr>
                <w:rFonts w:ascii="Times New Roman" w:eastAsia="Times New Roman" w:hAnsi="Times New Roman" w:cs="Times New Roman"/>
                <w:sz w:val="20"/>
                <w:szCs w:val="20"/>
                <w:lang w:eastAsia="en-CA"/>
              </w:rPr>
              <w:t> </w:t>
            </w:r>
            <w:r w:rsidRPr="00E01219">
              <w:rPr>
                <w:rFonts w:ascii="Calibri Light" w:eastAsia="Times New Roman" w:hAnsi="Calibri Light" w:cs="Times New Roman"/>
                <w:sz w:val="20"/>
                <w:szCs w:val="20"/>
                <w:lang w:eastAsia="en-CA"/>
              </w:rPr>
              <w:t>a</w:t>
            </w:r>
            <w:r w:rsidRPr="00E01219">
              <w:rPr>
                <w:rFonts w:ascii="Times New Roman" w:eastAsia="Times New Roman" w:hAnsi="Times New Roman" w:cs="Times New Roman"/>
                <w:sz w:val="20"/>
                <w:szCs w:val="20"/>
                <w:lang w:eastAsia="en-CA"/>
              </w:rPr>
              <w:t> </w:t>
            </w:r>
            <w:r w:rsidRPr="00E01219">
              <w:rPr>
                <w:rFonts w:ascii="Calibri Light" w:eastAsia="Times New Roman" w:hAnsi="Calibri Light" w:cs="Times New Roman"/>
                <w:sz w:val="20"/>
                <w:szCs w:val="20"/>
                <w:lang w:eastAsia="en-CA"/>
              </w:rPr>
              <w:t>Cl, Sel brut, Sel de déglaçage, Rocanville grossier</w:t>
            </w:r>
          </w:p>
        </w:tc>
        <w:tc>
          <w:tcPr>
            <w:tcW w:w="0" w:type="auto"/>
            <w:hideMark/>
          </w:tcPr>
          <w:p w:rsidR="00E01219" w:rsidRPr="00E01219" w:rsidRDefault="00E01219" w:rsidP="00E01219">
            <w:pPr>
              <w:spacing w:after="0" w:line="240" w:lineRule="auto"/>
              <w:rPr>
                <w:rFonts w:ascii="Times New Roman" w:eastAsia="Times New Roman" w:hAnsi="Times New Roman" w:cs="Times New Roman"/>
                <w:sz w:val="20"/>
                <w:szCs w:val="20"/>
                <w:lang w:eastAsia="en-CA"/>
              </w:rPr>
            </w:pPr>
          </w:p>
        </w:tc>
      </w:tr>
      <w:tr w:rsidR="00E01219" w:rsidRPr="00E01219" w:rsidTr="00E01219">
        <w:tc>
          <w:tcPr>
            <w:tcW w:w="2347" w:type="dxa"/>
            <w:gridSpan w:val="2"/>
            <w:tcBorders>
              <w:bottom w:val="single" w:sz="6" w:space="0" w:color="000000"/>
            </w:tcBorders>
            <w:shd w:val="clear" w:color="auto" w:fill="E2EFD9"/>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18"/>
                <w:szCs w:val="18"/>
                <w:lang w:eastAsia="en-CA"/>
              </w:rPr>
              <w:t>NOM DES INGREDIENTS</w:t>
            </w:r>
          </w:p>
        </w:tc>
        <w:tc>
          <w:tcPr>
            <w:tcW w:w="3772" w:type="dxa"/>
            <w:gridSpan w:val="2"/>
            <w:tcBorders>
              <w:bottom w:val="single" w:sz="6" w:space="0" w:color="000000"/>
            </w:tcBorders>
            <w:shd w:val="clear" w:color="auto" w:fill="E2EFD9"/>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18"/>
                <w:szCs w:val="18"/>
                <w:lang w:eastAsia="en-CA"/>
              </w:rPr>
              <w:t>% (W / W)</w:t>
            </w:r>
          </w:p>
        </w:tc>
        <w:tc>
          <w:tcPr>
            <w:tcW w:w="3817" w:type="dxa"/>
            <w:gridSpan w:val="2"/>
            <w:tcBorders>
              <w:bottom w:val="single" w:sz="6" w:space="0" w:color="000000"/>
            </w:tcBorders>
            <w:shd w:val="clear" w:color="auto" w:fill="E2EFD9"/>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18"/>
                <w:szCs w:val="18"/>
                <w:lang w:eastAsia="en-CA"/>
              </w:rPr>
              <w:t>N ° CAS.</w:t>
            </w:r>
          </w:p>
        </w:tc>
      </w:tr>
      <w:tr w:rsidR="00E01219" w:rsidRPr="00E01219" w:rsidTr="00E01219">
        <w:tc>
          <w:tcPr>
            <w:tcW w:w="234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219" w:rsidRPr="00E01219" w:rsidRDefault="00E01219" w:rsidP="00E01219">
            <w:pPr>
              <w:spacing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Chlorure de sodium</w:t>
            </w:r>
          </w:p>
        </w:tc>
        <w:tc>
          <w:tcPr>
            <w:tcW w:w="377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219" w:rsidRPr="00E01219" w:rsidRDefault="00E01219" w:rsidP="00E01219">
            <w:pPr>
              <w:spacing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Indisponible</w:t>
            </w:r>
          </w:p>
        </w:tc>
        <w:tc>
          <w:tcPr>
            <w:tcW w:w="381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219" w:rsidRPr="00E01219" w:rsidRDefault="00E01219" w:rsidP="00E01219">
            <w:pPr>
              <w:spacing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7647-14-5</w:t>
            </w:r>
          </w:p>
        </w:tc>
      </w:tr>
      <w:tr w:rsidR="00E01219" w:rsidRPr="00E01219" w:rsidTr="00E01219">
        <w:tc>
          <w:tcPr>
            <w:tcW w:w="9936" w:type="dxa"/>
            <w:gridSpan w:val="6"/>
            <w:tcBorders>
              <w:top w:val="single" w:sz="6" w:space="0" w:color="000000"/>
            </w:tcBorders>
            <w:tcMar>
              <w:top w:w="0" w:type="dxa"/>
              <w:left w:w="108" w:type="dxa"/>
              <w:bottom w:w="0" w:type="dxa"/>
              <w:right w:w="108" w:type="dxa"/>
            </w:tcMar>
            <w:hideMark/>
          </w:tcPr>
          <w:p w:rsidR="00E01219" w:rsidRPr="00E01219" w:rsidRDefault="00E01219" w:rsidP="00E01219">
            <w:pPr>
              <w:spacing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i/>
                <w:iCs/>
                <w:sz w:val="18"/>
                <w:szCs w:val="18"/>
                <w:lang w:eastAsia="en-CA"/>
              </w:rPr>
              <w:t>Toute concentration indiquée en tant que plage est destinée à protéger la confidentialité ou est due à une variation de lot.</w:t>
            </w:r>
          </w:p>
        </w:tc>
      </w:tr>
      <w:tr w:rsidR="00E01219" w:rsidRPr="00E01219" w:rsidTr="00E01219">
        <w:tc>
          <w:tcPr>
            <w:tcW w:w="9936" w:type="dxa"/>
            <w:gridSpan w:val="6"/>
            <w:tcMar>
              <w:top w:w="0" w:type="dxa"/>
              <w:left w:w="108" w:type="dxa"/>
              <w:bottom w:w="0" w:type="dxa"/>
              <w:right w:w="108" w:type="dxa"/>
            </w:tcMar>
            <w:hideMark/>
          </w:tcPr>
          <w:p w:rsidR="00E01219" w:rsidRPr="00E01219" w:rsidRDefault="00E01219" w:rsidP="00E01219">
            <w:pPr>
              <w:spacing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18"/>
                <w:szCs w:val="18"/>
                <w:lang w:eastAsia="en-CA"/>
              </w:rPr>
              <w:t>Il n'y a pas d'autres ingrédients présents qui, compte tenu des connaissances actuelles du fournisseur et des concentrations applicables, sont classés comme dangereux pour la santé ou l'environnement et requièrent donc une déclaration dans cette section.</w:t>
            </w:r>
          </w:p>
          <w:p w:rsidR="00E01219" w:rsidRPr="00E01219" w:rsidRDefault="00E01219" w:rsidP="00E01219">
            <w:pPr>
              <w:spacing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18"/>
                <w:szCs w:val="18"/>
                <w:lang w:eastAsia="en-CA"/>
              </w:rPr>
              <w:t>Les limites d'exposition professionnelle, si elles sont disponibles, sont énumérées à la section 8.</w:t>
            </w:r>
          </w:p>
        </w:tc>
      </w:tr>
      <w:tr w:rsidR="00E01219" w:rsidRPr="00E01219" w:rsidTr="00E01219">
        <w:tc>
          <w:tcPr>
            <w:tcW w:w="2135" w:type="dxa"/>
            <w:tcMar>
              <w:top w:w="0" w:type="dxa"/>
              <w:left w:w="108" w:type="dxa"/>
              <w:bottom w:w="0" w:type="dxa"/>
              <w:right w:w="108" w:type="dxa"/>
            </w:tcMar>
            <w:hideMark/>
          </w:tcPr>
          <w:p w:rsidR="00E01219" w:rsidRPr="00E01219" w:rsidRDefault="00E01219" w:rsidP="00E01219">
            <w:pPr>
              <w:spacing w:before="100" w:after="0" w:line="230" w:lineRule="atLeast"/>
              <w:rPr>
                <w:rFonts w:ascii="Times New Roman" w:eastAsia="Times New Roman" w:hAnsi="Times New Roman" w:cs="Times New Roman"/>
                <w:sz w:val="20"/>
                <w:szCs w:val="20"/>
                <w:lang w:eastAsia="en-CA"/>
              </w:rPr>
            </w:pPr>
            <w:r w:rsidRPr="00E01219">
              <w:rPr>
                <w:rFonts w:ascii="Calibri Light" w:eastAsia="Times New Roman" w:hAnsi="Calibri Light" w:cs="Times New Roman"/>
                <w:b/>
                <w:bCs/>
                <w:sz w:val="20"/>
                <w:szCs w:val="20"/>
                <w:lang w:eastAsia="en-CA"/>
              </w:rPr>
              <w:t>Autres identifiants</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30" w:lineRule="atLeast"/>
              <w:rPr>
                <w:rFonts w:ascii="Times New Roman" w:eastAsia="Times New Roman" w:hAnsi="Times New Roman" w:cs="Times New Roman"/>
                <w:sz w:val="20"/>
                <w:szCs w:val="20"/>
                <w:lang w:eastAsia="en-CA"/>
              </w:rPr>
            </w:pPr>
            <w:r w:rsidRPr="00E01219">
              <w:rPr>
                <w:rFonts w:ascii="Calibri Light" w:eastAsia="Times New Roman" w:hAnsi="Calibri Light" w:cs="Times New Roman"/>
                <w:sz w:val="20"/>
                <w:szCs w:val="20"/>
                <w:lang w:eastAsia="en-CA"/>
              </w:rPr>
              <w:t>Respectueux de la nature</w:t>
            </w:r>
          </w:p>
        </w:tc>
        <w:tc>
          <w:tcPr>
            <w:tcW w:w="0" w:type="auto"/>
            <w:hideMark/>
          </w:tcPr>
          <w:p w:rsidR="00E01219" w:rsidRPr="00E01219" w:rsidRDefault="00E01219" w:rsidP="00E01219">
            <w:pPr>
              <w:spacing w:after="0" w:line="240" w:lineRule="auto"/>
              <w:rPr>
                <w:rFonts w:ascii="Times New Roman" w:eastAsia="Times New Roman" w:hAnsi="Times New Roman" w:cs="Times New Roman"/>
                <w:sz w:val="20"/>
                <w:szCs w:val="20"/>
                <w:lang w:eastAsia="en-CA"/>
              </w:rPr>
            </w:pPr>
          </w:p>
        </w:tc>
      </w:tr>
      <w:tr w:rsidR="00E01219" w:rsidRPr="00E01219" w:rsidTr="00E01219">
        <w:tc>
          <w:tcPr>
            <w:tcW w:w="9350" w:type="dxa"/>
            <w:gridSpan w:val="5"/>
            <w:shd w:val="clear" w:color="auto" w:fill="C5E0B3"/>
            <w:tcMar>
              <w:top w:w="0" w:type="dxa"/>
              <w:left w:w="108" w:type="dxa"/>
              <w:bottom w:w="0" w:type="dxa"/>
              <w:right w:w="108" w:type="dxa"/>
            </w:tcMar>
            <w:hideMark/>
          </w:tcPr>
          <w:p w:rsidR="00E01219" w:rsidRPr="00E01219" w:rsidRDefault="00E01219" w:rsidP="00E01219">
            <w:pPr>
              <w:spacing w:before="100" w:after="0" w:line="230" w:lineRule="atLeast"/>
              <w:rPr>
                <w:rFonts w:ascii="Times New Roman" w:eastAsia="Times New Roman" w:hAnsi="Times New Roman" w:cs="Times New Roman"/>
                <w:sz w:val="20"/>
                <w:szCs w:val="20"/>
                <w:lang w:eastAsia="en-CA"/>
              </w:rPr>
            </w:pPr>
            <w:r w:rsidRPr="00E01219">
              <w:rPr>
                <w:rFonts w:ascii="Calibri Light" w:eastAsia="Times New Roman" w:hAnsi="Calibri Light" w:cs="Times New Roman"/>
                <w:b/>
                <w:bCs/>
                <w:sz w:val="20"/>
                <w:szCs w:val="20"/>
                <w:lang w:eastAsia="en-CA"/>
              </w:rPr>
              <w:t>SECTION 4. MESURES DE PREMIERS SECOURS</w:t>
            </w:r>
          </w:p>
        </w:tc>
        <w:tc>
          <w:tcPr>
            <w:tcW w:w="0" w:type="auto"/>
            <w:hideMark/>
          </w:tcPr>
          <w:p w:rsidR="00E01219" w:rsidRPr="00E01219" w:rsidRDefault="00E01219" w:rsidP="00E01219">
            <w:pPr>
              <w:spacing w:after="0" w:line="240" w:lineRule="auto"/>
              <w:rPr>
                <w:rFonts w:ascii="Times New Roman" w:eastAsia="Times New Roman" w:hAnsi="Times New Roman" w:cs="Times New Roman"/>
                <w:sz w:val="20"/>
                <w:szCs w:val="20"/>
                <w:lang w:eastAsia="en-CA"/>
              </w:rPr>
            </w:pPr>
          </w:p>
        </w:tc>
      </w:tr>
      <w:tr w:rsidR="00E01219" w:rsidRPr="00E01219" w:rsidTr="00E01219">
        <w:tc>
          <w:tcPr>
            <w:tcW w:w="9350" w:type="dxa"/>
            <w:gridSpan w:val="5"/>
            <w:shd w:val="clear" w:color="auto" w:fill="E2EFD9"/>
            <w:tcMar>
              <w:top w:w="0" w:type="dxa"/>
              <w:left w:w="108" w:type="dxa"/>
              <w:bottom w:w="0" w:type="dxa"/>
              <w:right w:w="108" w:type="dxa"/>
            </w:tcMar>
            <w:hideMark/>
          </w:tcPr>
          <w:p w:rsidR="00E01219" w:rsidRPr="00E01219" w:rsidRDefault="00E01219" w:rsidP="00E01219">
            <w:pPr>
              <w:spacing w:before="100" w:after="0" w:line="207" w:lineRule="atLeast"/>
              <w:rPr>
                <w:rFonts w:ascii="Times New Roman" w:eastAsia="Times New Roman" w:hAnsi="Times New Roman" w:cs="Times New Roman"/>
                <w:sz w:val="18"/>
                <w:szCs w:val="18"/>
                <w:lang w:eastAsia="en-CA"/>
              </w:rPr>
            </w:pPr>
            <w:r w:rsidRPr="00E01219">
              <w:rPr>
                <w:rFonts w:ascii="Calibri Light" w:eastAsia="Times New Roman" w:hAnsi="Calibri Light" w:cs="Times New Roman"/>
                <w:b/>
                <w:bCs/>
                <w:sz w:val="18"/>
                <w:szCs w:val="18"/>
                <w:lang w:eastAsia="en-CA"/>
              </w:rPr>
              <w:t>4.1 PREMIERS SOINS PAR VOIE D'EXPOSITION</w:t>
            </w:r>
          </w:p>
        </w:tc>
        <w:tc>
          <w:tcPr>
            <w:tcW w:w="0" w:type="auto"/>
            <w:hideMark/>
          </w:tcPr>
          <w:p w:rsidR="00E01219" w:rsidRPr="00E01219" w:rsidRDefault="00E01219" w:rsidP="00E01219">
            <w:pPr>
              <w:spacing w:after="0" w:line="240" w:lineRule="auto"/>
              <w:rPr>
                <w:rFonts w:ascii="Times New Roman" w:eastAsia="Times New Roman" w:hAnsi="Times New Roman" w:cs="Times New Roman"/>
                <w:sz w:val="18"/>
                <w:szCs w:val="18"/>
                <w:lang w:eastAsia="en-CA"/>
              </w:rPr>
            </w:pPr>
          </w:p>
        </w:tc>
      </w:tr>
      <w:tr w:rsidR="00E01219" w:rsidRPr="00E01219" w:rsidTr="00E01219">
        <w:tc>
          <w:tcPr>
            <w:tcW w:w="2135" w:type="dxa"/>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Général</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ind w:right="165"/>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Si un avis médical est nécessaire, avoir à portée de main le contenant ou l'étiquette du produit.</w:t>
            </w:r>
          </w:p>
        </w:tc>
        <w:tc>
          <w:tcPr>
            <w:tcW w:w="0" w:type="auto"/>
            <w:hideMark/>
          </w:tcPr>
          <w:p w:rsidR="00E01219" w:rsidRPr="00E01219" w:rsidRDefault="00E01219" w:rsidP="00E01219">
            <w:pPr>
              <w:spacing w:after="0" w:line="240" w:lineRule="auto"/>
              <w:rPr>
                <w:rFonts w:ascii="Times New Roman" w:eastAsia="Times New Roman" w:hAnsi="Times New Roman" w:cs="Times New Roman"/>
                <w:sz w:val="24"/>
                <w:szCs w:val="24"/>
                <w:lang w:eastAsia="en-CA"/>
              </w:rPr>
            </w:pPr>
          </w:p>
        </w:tc>
      </w:tr>
      <w:tr w:rsidR="00E01219" w:rsidRPr="00E01219" w:rsidTr="00E01219">
        <w:tc>
          <w:tcPr>
            <w:tcW w:w="2135" w:type="dxa"/>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Inhalation</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ind w:right="165"/>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En cas d'inhalation, transporter la victime à l'extérieur et la maintenir au repos dans une position où elle peut confortablement respirer.</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z w:val="20"/>
                <w:szCs w:val="20"/>
                <w:lang w:eastAsia="en-CA"/>
              </w:rPr>
              <w:t xml:space="preserve">Donner de l'oxygène ou de la </w:t>
            </w:r>
            <w:r w:rsidRPr="00E01219">
              <w:rPr>
                <w:rFonts w:ascii="Calibri Light" w:eastAsia="Times New Roman" w:hAnsi="Calibri Light" w:cs="Times New Roman"/>
                <w:sz w:val="20"/>
                <w:szCs w:val="20"/>
                <w:lang w:eastAsia="en-CA"/>
              </w:rPr>
              <w:lastRenderedPageBreak/>
              <w:t>respiration artificielle si nécessaire.</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z w:val="20"/>
                <w:szCs w:val="20"/>
                <w:lang w:eastAsia="en-CA"/>
              </w:rPr>
              <w:t>Consulter un médecin si la difficulté à respirer persiste.</w:t>
            </w:r>
          </w:p>
        </w:tc>
        <w:tc>
          <w:tcPr>
            <w:tcW w:w="0" w:type="auto"/>
            <w:hideMark/>
          </w:tcPr>
          <w:p w:rsidR="00E01219" w:rsidRPr="00E01219" w:rsidRDefault="00E01219" w:rsidP="00E01219">
            <w:pPr>
              <w:spacing w:after="0" w:line="240" w:lineRule="auto"/>
              <w:rPr>
                <w:rFonts w:ascii="Times New Roman" w:eastAsia="Times New Roman" w:hAnsi="Times New Roman" w:cs="Times New Roman"/>
                <w:sz w:val="24"/>
                <w:szCs w:val="24"/>
                <w:lang w:eastAsia="en-CA"/>
              </w:rPr>
            </w:pPr>
          </w:p>
        </w:tc>
      </w:tr>
      <w:tr w:rsidR="00E01219" w:rsidRPr="00E01219" w:rsidTr="00E01219">
        <w:tc>
          <w:tcPr>
            <w:tcW w:w="2135" w:type="dxa"/>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Contact avec la peau</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ind w:right="165"/>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Laver soigneusement la peau avec un savon doux et de l'eau.</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z w:val="20"/>
                <w:szCs w:val="20"/>
                <w:lang w:eastAsia="en-CA"/>
              </w:rPr>
              <w:t>Consulter un médecin si une irritation se développe ou persiste.</w:t>
            </w:r>
          </w:p>
        </w:tc>
        <w:tc>
          <w:tcPr>
            <w:tcW w:w="0" w:type="auto"/>
            <w:hideMark/>
          </w:tcPr>
          <w:p w:rsidR="00E01219" w:rsidRPr="00E01219" w:rsidRDefault="00E01219" w:rsidP="00E01219">
            <w:pPr>
              <w:spacing w:after="0" w:line="240" w:lineRule="auto"/>
              <w:rPr>
                <w:rFonts w:ascii="Times New Roman" w:eastAsia="Times New Roman" w:hAnsi="Times New Roman" w:cs="Times New Roman"/>
                <w:sz w:val="24"/>
                <w:szCs w:val="24"/>
                <w:lang w:eastAsia="en-CA"/>
              </w:rPr>
            </w:pPr>
          </w:p>
        </w:tc>
      </w:tr>
      <w:tr w:rsidR="00E01219" w:rsidRPr="00E01219" w:rsidTr="00E01219">
        <w:tc>
          <w:tcPr>
            <w:tcW w:w="2135" w:type="dxa"/>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Lentilles de contact             </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ind w:right="165"/>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Rincer immédiatement à l'eau pendant une période prolongée (15 minutes) tout en maintenant les paupières grandes ouvertes, y compris les paupières supérieures et inférieures.</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z w:val="20"/>
                <w:szCs w:val="20"/>
                <w:lang w:eastAsia="en-CA"/>
              </w:rPr>
              <w:t>Consulter un médecin si la douleur et l'irritation se développent ou persistent.</w:t>
            </w:r>
          </w:p>
        </w:tc>
        <w:tc>
          <w:tcPr>
            <w:tcW w:w="0" w:type="auto"/>
            <w:hideMark/>
          </w:tcPr>
          <w:p w:rsidR="00E01219" w:rsidRPr="00E01219" w:rsidRDefault="00E01219" w:rsidP="00E01219">
            <w:pPr>
              <w:spacing w:after="0" w:line="240" w:lineRule="auto"/>
              <w:rPr>
                <w:rFonts w:ascii="Times New Roman" w:eastAsia="Times New Roman" w:hAnsi="Times New Roman" w:cs="Times New Roman"/>
                <w:sz w:val="24"/>
                <w:szCs w:val="24"/>
                <w:lang w:eastAsia="en-CA"/>
              </w:rPr>
            </w:pPr>
          </w:p>
        </w:tc>
      </w:tr>
      <w:tr w:rsidR="00E01219" w:rsidRPr="00E01219" w:rsidTr="00E01219">
        <w:tc>
          <w:tcPr>
            <w:tcW w:w="2135" w:type="dxa"/>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Ingestion</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ind w:right="165"/>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Ne pas faire vomir.</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z w:val="20"/>
                <w:szCs w:val="20"/>
                <w:lang w:eastAsia="en-CA"/>
              </w:rPr>
              <w:t>Administrer de l'eau si le patient est conscient.</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z w:val="20"/>
                <w:szCs w:val="20"/>
                <w:lang w:eastAsia="en-CA"/>
              </w:rPr>
              <w:t>L'ingestion de sel provoquera généralement une purge de l'estomac en vomissant.</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z w:val="20"/>
                <w:szCs w:val="20"/>
                <w:lang w:eastAsia="en-CA"/>
              </w:rPr>
              <w:t>Consulter un médecin si une grande quantité est avalée.</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z w:val="20"/>
                <w:szCs w:val="20"/>
                <w:lang w:eastAsia="en-CA"/>
              </w:rPr>
              <w:t>Consulter un médecin si vous ne vous sentez pas bien.</w:t>
            </w:r>
          </w:p>
        </w:tc>
        <w:tc>
          <w:tcPr>
            <w:tcW w:w="0" w:type="auto"/>
            <w:hideMark/>
          </w:tcPr>
          <w:p w:rsidR="00E01219" w:rsidRPr="00E01219" w:rsidRDefault="00E01219" w:rsidP="00E01219">
            <w:pPr>
              <w:spacing w:after="0" w:line="240" w:lineRule="auto"/>
              <w:rPr>
                <w:rFonts w:ascii="Times New Roman" w:eastAsia="Times New Roman" w:hAnsi="Times New Roman" w:cs="Times New Roman"/>
                <w:sz w:val="24"/>
                <w:szCs w:val="24"/>
                <w:lang w:eastAsia="en-CA"/>
              </w:rPr>
            </w:pPr>
          </w:p>
        </w:tc>
      </w:tr>
      <w:tr w:rsidR="00E01219" w:rsidRPr="00E01219" w:rsidTr="00E01219">
        <w:tc>
          <w:tcPr>
            <w:tcW w:w="9350" w:type="dxa"/>
            <w:gridSpan w:val="5"/>
            <w:shd w:val="clear" w:color="auto" w:fill="E2EFD9"/>
            <w:tcMar>
              <w:top w:w="0" w:type="dxa"/>
              <w:left w:w="108" w:type="dxa"/>
              <w:bottom w:w="0" w:type="dxa"/>
              <w:right w:w="108" w:type="dxa"/>
            </w:tcMar>
            <w:hideMark/>
          </w:tcPr>
          <w:p w:rsidR="00E01219" w:rsidRPr="00E01219" w:rsidRDefault="00E01219" w:rsidP="00E01219">
            <w:pPr>
              <w:spacing w:before="100" w:after="0" w:line="207" w:lineRule="atLeast"/>
              <w:rPr>
                <w:rFonts w:ascii="Times New Roman" w:eastAsia="Times New Roman" w:hAnsi="Times New Roman" w:cs="Times New Roman"/>
                <w:sz w:val="18"/>
                <w:szCs w:val="18"/>
                <w:lang w:eastAsia="en-CA"/>
              </w:rPr>
            </w:pPr>
            <w:r w:rsidRPr="00E01219">
              <w:rPr>
                <w:rFonts w:ascii="Calibri Light" w:eastAsia="Times New Roman" w:hAnsi="Calibri Light" w:cs="Times New Roman"/>
                <w:b/>
                <w:bCs/>
                <w:sz w:val="18"/>
                <w:szCs w:val="18"/>
                <w:lang w:eastAsia="en-CA"/>
              </w:rPr>
              <w:t>4.2 SYMPTÔMES ET EFFETS LES PLUS IMPORTANTS, À LA FOIS AIGUS ET RETARDÉS</w:t>
            </w:r>
          </w:p>
        </w:tc>
        <w:tc>
          <w:tcPr>
            <w:tcW w:w="0" w:type="auto"/>
            <w:hideMark/>
          </w:tcPr>
          <w:p w:rsidR="00E01219" w:rsidRPr="00E01219" w:rsidRDefault="00E01219" w:rsidP="00E01219">
            <w:pPr>
              <w:spacing w:after="0" w:line="240" w:lineRule="auto"/>
              <w:rPr>
                <w:rFonts w:ascii="Times New Roman" w:eastAsia="Times New Roman" w:hAnsi="Times New Roman" w:cs="Times New Roman"/>
                <w:sz w:val="18"/>
                <w:szCs w:val="18"/>
                <w:lang w:eastAsia="en-CA"/>
              </w:rPr>
            </w:pPr>
          </w:p>
        </w:tc>
      </w:tr>
      <w:tr w:rsidR="00E01219" w:rsidRPr="00E01219" w:rsidTr="00E01219">
        <w:tc>
          <w:tcPr>
            <w:tcW w:w="2135" w:type="dxa"/>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Symptômes / blessures</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Irritation aux yeux, à la peau et aux voies respiratoires.</w:t>
            </w:r>
          </w:p>
        </w:tc>
        <w:tc>
          <w:tcPr>
            <w:tcW w:w="0" w:type="auto"/>
            <w:hideMark/>
          </w:tcPr>
          <w:p w:rsidR="00E01219" w:rsidRPr="00E01219" w:rsidRDefault="00E01219" w:rsidP="00E01219">
            <w:pPr>
              <w:spacing w:after="0" w:line="240" w:lineRule="auto"/>
              <w:rPr>
                <w:rFonts w:ascii="Times New Roman" w:eastAsia="Times New Roman" w:hAnsi="Times New Roman" w:cs="Times New Roman"/>
                <w:sz w:val="24"/>
                <w:szCs w:val="24"/>
                <w:lang w:eastAsia="en-CA"/>
              </w:rPr>
            </w:pPr>
          </w:p>
        </w:tc>
      </w:tr>
      <w:tr w:rsidR="00E01219" w:rsidRPr="00E01219" w:rsidTr="00E01219">
        <w:tc>
          <w:tcPr>
            <w:tcW w:w="2135" w:type="dxa"/>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Symptômes / blessures après inhalation</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La surexposition peut être irritante pour le système respiratoire.</w:t>
            </w:r>
          </w:p>
        </w:tc>
        <w:tc>
          <w:tcPr>
            <w:tcW w:w="0" w:type="auto"/>
            <w:hideMark/>
          </w:tcPr>
          <w:p w:rsidR="00E01219" w:rsidRPr="00E01219" w:rsidRDefault="00E01219" w:rsidP="00E01219">
            <w:pPr>
              <w:spacing w:after="0" w:line="240" w:lineRule="auto"/>
              <w:rPr>
                <w:rFonts w:ascii="Times New Roman" w:eastAsia="Times New Roman" w:hAnsi="Times New Roman" w:cs="Times New Roman"/>
                <w:sz w:val="24"/>
                <w:szCs w:val="24"/>
                <w:lang w:eastAsia="en-CA"/>
              </w:rPr>
            </w:pPr>
          </w:p>
        </w:tc>
      </w:tr>
      <w:tr w:rsidR="00E01219" w:rsidRPr="00E01219" w:rsidTr="00E01219">
        <w:tc>
          <w:tcPr>
            <w:tcW w:w="2135" w:type="dxa"/>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Symptômes / blessures après contact avec la peau</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Peut causer une irritation de la peau.</w:t>
            </w:r>
          </w:p>
        </w:tc>
        <w:tc>
          <w:tcPr>
            <w:tcW w:w="0" w:type="auto"/>
            <w:hideMark/>
          </w:tcPr>
          <w:p w:rsidR="00E01219" w:rsidRPr="00E01219" w:rsidRDefault="00E01219" w:rsidP="00E01219">
            <w:pPr>
              <w:spacing w:after="0" w:line="240" w:lineRule="auto"/>
              <w:rPr>
                <w:rFonts w:ascii="Times New Roman" w:eastAsia="Times New Roman" w:hAnsi="Times New Roman" w:cs="Times New Roman"/>
                <w:sz w:val="24"/>
                <w:szCs w:val="24"/>
                <w:lang w:eastAsia="en-CA"/>
              </w:rPr>
            </w:pPr>
          </w:p>
        </w:tc>
      </w:tr>
      <w:tr w:rsidR="00E01219" w:rsidRPr="00E01219" w:rsidTr="00E01219">
        <w:tc>
          <w:tcPr>
            <w:tcW w:w="2135" w:type="dxa"/>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Symptômes / lésions après contact avec les yeux</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Peut provoquer une irritation des yeux.</w:t>
            </w:r>
          </w:p>
        </w:tc>
        <w:tc>
          <w:tcPr>
            <w:tcW w:w="0" w:type="auto"/>
            <w:hideMark/>
          </w:tcPr>
          <w:p w:rsidR="00E01219" w:rsidRPr="00E01219" w:rsidRDefault="00E01219" w:rsidP="00E01219">
            <w:pPr>
              <w:spacing w:after="0" w:line="240" w:lineRule="auto"/>
              <w:rPr>
                <w:rFonts w:ascii="Times New Roman" w:eastAsia="Times New Roman" w:hAnsi="Times New Roman" w:cs="Times New Roman"/>
                <w:sz w:val="24"/>
                <w:szCs w:val="24"/>
                <w:lang w:eastAsia="en-CA"/>
              </w:rPr>
            </w:pPr>
          </w:p>
        </w:tc>
      </w:tr>
      <w:tr w:rsidR="00E01219" w:rsidRPr="00E01219" w:rsidTr="00E01219">
        <w:tc>
          <w:tcPr>
            <w:tcW w:w="2135" w:type="dxa"/>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Symptômes / blessures après l'ingestion</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Si une grande quantité a été ingérée: douleur abdominale;</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z w:val="20"/>
                <w:szCs w:val="20"/>
                <w:lang w:eastAsia="en-CA"/>
              </w:rPr>
              <w:t>La diarrhée;</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z w:val="20"/>
                <w:szCs w:val="20"/>
                <w:lang w:eastAsia="en-CA"/>
              </w:rPr>
              <w:t>La nausée;Vomissement;</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z w:val="20"/>
                <w:szCs w:val="20"/>
                <w:lang w:eastAsia="en-CA"/>
              </w:rPr>
              <w:t>Picotements dans les mains et les pieds;</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z w:val="20"/>
                <w:szCs w:val="20"/>
                <w:lang w:eastAsia="en-CA"/>
              </w:rPr>
              <w:t>Pouls faible;</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z w:val="20"/>
                <w:szCs w:val="20"/>
                <w:lang w:eastAsia="en-CA"/>
              </w:rPr>
              <w:t>Troubles circulatoires</w:t>
            </w:r>
          </w:p>
        </w:tc>
        <w:tc>
          <w:tcPr>
            <w:tcW w:w="0" w:type="auto"/>
            <w:hideMark/>
          </w:tcPr>
          <w:p w:rsidR="00E01219" w:rsidRPr="00E01219" w:rsidRDefault="00E01219" w:rsidP="00E01219">
            <w:pPr>
              <w:spacing w:after="0" w:line="240" w:lineRule="auto"/>
              <w:rPr>
                <w:rFonts w:ascii="Times New Roman" w:eastAsia="Times New Roman" w:hAnsi="Times New Roman" w:cs="Times New Roman"/>
                <w:sz w:val="24"/>
                <w:szCs w:val="24"/>
                <w:lang w:eastAsia="en-CA"/>
              </w:rPr>
            </w:pPr>
          </w:p>
        </w:tc>
      </w:tr>
      <w:tr w:rsidR="00E01219" w:rsidRPr="00E01219" w:rsidTr="00E01219">
        <w:tc>
          <w:tcPr>
            <w:tcW w:w="2135" w:type="dxa"/>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Symptômes chroniques</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L'inhalation prolongée de poussières peut provoquer une irritation des voies respiratoires.</w:t>
            </w:r>
          </w:p>
        </w:tc>
        <w:tc>
          <w:tcPr>
            <w:tcW w:w="0" w:type="auto"/>
            <w:hideMark/>
          </w:tcPr>
          <w:p w:rsidR="00E01219" w:rsidRPr="00E01219" w:rsidRDefault="00E01219" w:rsidP="00E01219">
            <w:pPr>
              <w:spacing w:after="0" w:line="240" w:lineRule="auto"/>
              <w:rPr>
                <w:rFonts w:ascii="Times New Roman" w:eastAsia="Times New Roman" w:hAnsi="Times New Roman" w:cs="Times New Roman"/>
                <w:sz w:val="24"/>
                <w:szCs w:val="24"/>
                <w:lang w:eastAsia="en-CA"/>
              </w:rPr>
            </w:pPr>
          </w:p>
        </w:tc>
      </w:tr>
      <w:tr w:rsidR="00E01219" w:rsidRPr="00E01219" w:rsidTr="00E01219">
        <w:tc>
          <w:tcPr>
            <w:tcW w:w="9350" w:type="dxa"/>
            <w:gridSpan w:val="5"/>
            <w:shd w:val="clear" w:color="auto" w:fill="E2EFD9"/>
            <w:tcMar>
              <w:top w:w="0" w:type="dxa"/>
              <w:left w:w="108" w:type="dxa"/>
              <w:bottom w:w="0" w:type="dxa"/>
              <w:right w:w="108" w:type="dxa"/>
            </w:tcMar>
            <w:hideMark/>
          </w:tcPr>
          <w:p w:rsidR="00E01219" w:rsidRPr="00E01219" w:rsidRDefault="00E01219" w:rsidP="00E01219">
            <w:pPr>
              <w:spacing w:before="100" w:after="0" w:line="207" w:lineRule="atLeast"/>
              <w:rPr>
                <w:rFonts w:ascii="Times New Roman" w:eastAsia="Times New Roman" w:hAnsi="Times New Roman" w:cs="Times New Roman"/>
                <w:sz w:val="18"/>
                <w:szCs w:val="18"/>
                <w:lang w:eastAsia="en-CA"/>
              </w:rPr>
            </w:pPr>
            <w:r w:rsidRPr="00E01219">
              <w:rPr>
                <w:rFonts w:ascii="Calibri Light" w:eastAsia="Times New Roman" w:hAnsi="Calibri Light" w:cs="Times New Roman"/>
                <w:b/>
                <w:bCs/>
                <w:sz w:val="18"/>
                <w:szCs w:val="18"/>
                <w:lang w:eastAsia="en-CA"/>
              </w:rPr>
              <w:t>4.3 INDICATION DE TOUTE ATTENTION MÉDICALE IMMÉDIATE ET TRAITEMENT SPÉCIAL NÉCESSAIRE</w:t>
            </w:r>
          </w:p>
        </w:tc>
        <w:tc>
          <w:tcPr>
            <w:tcW w:w="0" w:type="auto"/>
            <w:hideMark/>
          </w:tcPr>
          <w:p w:rsidR="00E01219" w:rsidRPr="00E01219" w:rsidRDefault="00E01219" w:rsidP="00E01219">
            <w:pPr>
              <w:spacing w:after="0" w:line="240" w:lineRule="auto"/>
              <w:rPr>
                <w:rFonts w:ascii="Times New Roman" w:eastAsia="Times New Roman" w:hAnsi="Times New Roman" w:cs="Times New Roman"/>
                <w:sz w:val="18"/>
                <w:szCs w:val="18"/>
                <w:lang w:eastAsia="en-CA"/>
              </w:rPr>
            </w:pPr>
          </w:p>
        </w:tc>
      </w:tr>
      <w:tr w:rsidR="00E01219" w:rsidRPr="00E01219" w:rsidTr="00E01219">
        <w:tc>
          <w:tcPr>
            <w:tcW w:w="9350" w:type="dxa"/>
            <w:gridSpan w:val="5"/>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Aucune information supplémentaire</w:t>
            </w:r>
          </w:p>
        </w:tc>
        <w:tc>
          <w:tcPr>
            <w:tcW w:w="0" w:type="auto"/>
            <w:hideMark/>
          </w:tcPr>
          <w:p w:rsidR="00E01219" w:rsidRPr="00E01219" w:rsidRDefault="00E01219" w:rsidP="00E01219">
            <w:pPr>
              <w:spacing w:after="0" w:line="240" w:lineRule="auto"/>
              <w:rPr>
                <w:rFonts w:ascii="Times New Roman" w:eastAsia="Times New Roman" w:hAnsi="Times New Roman" w:cs="Times New Roman"/>
                <w:sz w:val="24"/>
                <w:szCs w:val="24"/>
                <w:lang w:eastAsia="en-CA"/>
              </w:rPr>
            </w:pPr>
          </w:p>
        </w:tc>
      </w:tr>
      <w:tr w:rsidR="00E01219" w:rsidRPr="00E01219" w:rsidTr="00E01219">
        <w:tc>
          <w:tcPr>
            <w:tcW w:w="9350" w:type="dxa"/>
            <w:gridSpan w:val="5"/>
            <w:shd w:val="clear" w:color="auto" w:fill="C5E0B3"/>
            <w:tcMar>
              <w:top w:w="0" w:type="dxa"/>
              <w:left w:w="108" w:type="dxa"/>
              <w:bottom w:w="0" w:type="dxa"/>
              <w:right w:w="108" w:type="dxa"/>
            </w:tcMar>
            <w:hideMark/>
          </w:tcPr>
          <w:p w:rsidR="00E01219" w:rsidRPr="00E01219" w:rsidRDefault="00E01219" w:rsidP="00E01219">
            <w:pPr>
              <w:spacing w:before="100" w:after="0" w:line="230" w:lineRule="atLeast"/>
              <w:rPr>
                <w:rFonts w:ascii="Times New Roman" w:eastAsia="Times New Roman" w:hAnsi="Times New Roman" w:cs="Times New Roman"/>
                <w:sz w:val="20"/>
                <w:szCs w:val="20"/>
                <w:lang w:eastAsia="en-CA"/>
              </w:rPr>
            </w:pPr>
            <w:r w:rsidRPr="00E01219">
              <w:rPr>
                <w:rFonts w:ascii="Calibri Light" w:eastAsia="Times New Roman" w:hAnsi="Calibri Light" w:cs="Times New Roman"/>
                <w:b/>
                <w:bCs/>
                <w:sz w:val="20"/>
                <w:szCs w:val="20"/>
                <w:lang w:eastAsia="en-CA"/>
              </w:rPr>
              <w:t>SECTION 5. MESURE DE LUTTE CONTRE L'INCENDIE</w:t>
            </w:r>
          </w:p>
        </w:tc>
        <w:tc>
          <w:tcPr>
            <w:tcW w:w="0" w:type="auto"/>
            <w:hideMark/>
          </w:tcPr>
          <w:p w:rsidR="00E01219" w:rsidRPr="00E01219" w:rsidRDefault="00E01219" w:rsidP="00E01219">
            <w:pPr>
              <w:spacing w:after="0" w:line="240" w:lineRule="auto"/>
              <w:rPr>
                <w:rFonts w:ascii="Times New Roman" w:eastAsia="Times New Roman" w:hAnsi="Times New Roman" w:cs="Times New Roman"/>
                <w:sz w:val="20"/>
                <w:szCs w:val="20"/>
                <w:lang w:eastAsia="en-CA"/>
              </w:rPr>
            </w:pPr>
          </w:p>
        </w:tc>
      </w:tr>
      <w:tr w:rsidR="00E01219" w:rsidRPr="00E01219" w:rsidTr="00E01219">
        <w:tc>
          <w:tcPr>
            <w:tcW w:w="9350" w:type="dxa"/>
            <w:gridSpan w:val="5"/>
            <w:shd w:val="clear" w:color="auto" w:fill="E2EFD9"/>
            <w:tcMar>
              <w:top w:w="0" w:type="dxa"/>
              <w:left w:w="108" w:type="dxa"/>
              <w:bottom w:w="0" w:type="dxa"/>
              <w:right w:w="108" w:type="dxa"/>
            </w:tcMar>
            <w:hideMark/>
          </w:tcPr>
          <w:p w:rsidR="00E01219" w:rsidRPr="00E01219" w:rsidRDefault="00E01219" w:rsidP="00E01219">
            <w:pPr>
              <w:spacing w:before="100" w:after="0" w:line="207" w:lineRule="atLeast"/>
              <w:rPr>
                <w:rFonts w:ascii="Times New Roman" w:eastAsia="Times New Roman" w:hAnsi="Times New Roman" w:cs="Times New Roman"/>
                <w:sz w:val="18"/>
                <w:szCs w:val="18"/>
                <w:lang w:eastAsia="en-CA"/>
              </w:rPr>
            </w:pPr>
            <w:r w:rsidRPr="00E01219">
              <w:rPr>
                <w:rFonts w:ascii="Calibri Light" w:eastAsia="Times New Roman" w:hAnsi="Calibri Light" w:cs="Times New Roman"/>
                <w:b/>
                <w:bCs/>
                <w:sz w:val="18"/>
                <w:szCs w:val="18"/>
                <w:lang w:eastAsia="en-CA"/>
              </w:rPr>
              <w:t>5.1 SUPPORTS D'EXTINCTION</w:t>
            </w:r>
          </w:p>
        </w:tc>
        <w:tc>
          <w:tcPr>
            <w:tcW w:w="0" w:type="auto"/>
            <w:hideMark/>
          </w:tcPr>
          <w:p w:rsidR="00E01219" w:rsidRPr="00E01219" w:rsidRDefault="00E01219" w:rsidP="00E01219">
            <w:pPr>
              <w:spacing w:after="0" w:line="240" w:lineRule="auto"/>
              <w:rPr>
                <w:rFonts w:ascii="Times New Roman" w:eastAsia="Times New Roman" w:hAnsi="Times New Roman" w:cs="Times New Roman"/>
                <w:sz w:val="18"/>
                <w:szCs w:val="18"/>
                <w:lang w:eastAsia="en-CA"/>
              </w:rPr>
            </w:pPr>
          </w:p>
        </w:tc>
      </w:tr>
      <w:tr w:rsidR="00E01219" w:rsidRPr="00E01219" w:rsidTr="00E01219">
        <w:tc>
          <w:tcPr>
            <w:tcW w:w="2135" w:type="dxa"/>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Moyens d'extinction appropriés</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Ininflammable</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z w:val="20"/>
                <w:szCs w:val="20"/>
                <w:lang w:eastAsia="en-CA"/>
              </w:rPr>
              <w:t>Utiliser un moyen d'extinction approprié pour le feu environnant.</w:t>
            </w:r>
          </w:p>
        </w:tc>
        <w:tc>
          <w:tcPr>
            <w:tcW w:w="0" w:type="auto"/>
            <w:hideMark/>
          </w:tcPr>
          <w:p w:rsidR="00E01219" w:rsidRPr="00E01219" w:rsidRDefault="00E01219" w:rsidP="00E01219">
            <w:pPr>
              <w:spacing w:after="0" w:line="240" w:lineRule="auto"/>
              <w:rPr>
                <w:rFonts w:ascii="Times New Roman" w:eastAsia="Times New Roman" w:hAnsi="Times New Roman" w:cs="Times New Roman"/>
                <w:sz w:val="24"/>
                <w:szCs w:val="24"/>
                <w:lang w:eastAsia="en-CA"/>
              </w:rPr>
            </w:pPr>
          </w:p>
        </w:tc>
      </w:tr>
      <w:tr w:rsidR="00E01219" w:rsidRPr="00E01219" w:rsidTr="00E01219">
        <w:tc>
          <w:tcPr>
            <w:tcW w:w="2135" w:type="dxa"/>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Moyens d'extinction inappropriés</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Aucun connu</w:t>
            </w:r>
          </w:p>
        </w:tc>
        <w:tc>
          <w:tcPr>
            <w:tcW w:w="0" w:type="auto"/>
            <w:hideMark/>
          </w:tcPr>
          <w:p w:rsidR="00E01219" w:rsidRPr="00E01219" w:rsidRDefault="00E01219" w:rsidP="00E01219">
            <w:pPr>
              <w:spacing w:after="0" w:line="240" w:lineRule="auto"/>
              <w:rPr>
                <w:rFonts w:ascii="Times New Roman" w:eastAsia="Times New Roman" w:hAnsi="Times New Roman" w:cs="Times New Roman"/>
                <w:sz w:val="24"/>
                <w:szCs w:val="24"/>
                <w:lang w:eastAsia="en-CA"/>
              </w:rPr>
            </w:pPr>
          </w:p>
        </w:tc>
      </w:tr>
      <w:tr w:rsidR="00E01219" w:rsidRPr="00E01219" w:rsidTr="00E01219">
        <w:tc>
          <w:tcPr>
            <w:tcW w:w="9350" w:type="dxa"/>
            <w:gridSpan w:val="5"/>
            <w:shd w:val="clear" w:color="auto" w:fill="E2EFD9"/>
            <w:tcMar>
              <w:top w:w="0" w:type="dxa"/>
              <w:left w:w="108" w:type="dxa"/>
              <w:bottom w:w="0" w:type="dxa"/>
              <w:right w:w="108" w:type="dxa"/>
            </w:tcMar>
            <w:hideMark/>
          </w:tcPr>
          <w:p w:rsidR="00E01219" w:rsidRPr="00E01219" w:rsidRDefault="00E01219" w:rsidP="00E01219">
            <w:pPr>
              <w:spacing w:before="100" w:after="0" w:line="207" w:lineRule="atLeast"/>
              <w:rPr>
                <w:rFonts w:ascii="Times New Roman" w:eastAsia="Times New Roman" w:hAnsi="Times New Roman" w:cs="Times New Roman"/>
                <w:sz w:val="18"/>
                <w:szCs w:val="18"/>
                <w:lang w:eastAsia="en-CA"/>
              </w:rPr>
            </w:pPr>
            <w:r w:rsidRPr="00E01219">
              <w:rPr>
                <w:rFonts w:ascii="Calibri Light" w:eastAsia="Times New Roman" w:hAnsi="Calibri Light" w:cs="Times New Roman"/>
                <w:b/>
                <w:bCs/>
                <w:sz w:val="18"/>
                <w:szCs w:val="18"/>
                <w:lang w:eastAsia="en-CA"/>
              </w:rPr>
              <w:t>5.2 DANGERS SPÉCIFIQUES DÉCOULANT DU PRODUIT</w:t>
            </w:r>
          </w:p>
        </w:tc>
        <w:tc>
          <w:tcPr>
            <w:tcW w:w="0" w:type="auto"/>
            <w:hideMark/>
          </w:tcPr>
          <w:p w:rsidR="00E01219" w:rsidRPr="00E01219" w:rsidRDefault="00E01219" w:rsidP="00E01219">
            <w:pPr>
              <w:spacing w:after="0" w:line="240" w:lineRule="auto"/>
              <w:rPr>
                <w:rFonts w:ascii="Times New Roman" w:eastAsia="Times New Roman" w:hAnsi="Times New Roman" w:cs="Times New Roman"/>
                <w:sz w:val="18"/>
                <w:szCs w:val="18"/>
                <w:lang w:eastAsia="en-CA"/>
              </w:rPr>
            </w:pPr>
          </w:p>
        </w:tc>
      </w:tr>
      <w:tr w:rsidR="00E01219" w:rsidRPr="00E01219" w:rsidTr="00E01219">
        <w:tc>
          <w:tcPr>
            <w:tcW w:w="2135" w:type="dxa"/>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Risque d'incendie</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En cas d'incendie, cette matière peut produire des fumées toxiques.</w:t>
            </w:r>
          </w:p>
        </w:tc>
        <w:tc>
          <w:tcPr>
            <w:tcW w:w="0" w:type="auto"/>
            <w:hideMark/>
          </w:tcPr>
          <w:p w:rsidR="00E01219" w:rsidRPr="00E01219" w:rsidRDefault="00E01219" w:rsidP="00E01219">
            <w:pPr>
              <w:spacing w:after="0" w:line="240" w:lineRule="auto"/>
              <w:rPr>
                <w:rFonts w:ascii="Times New Roman" w:eastAsia="Times New Roman" w:hAnsi="Times New Roman" w:cs="Times New Roman"/>
                <w:sz w:val="24"/>
                <w:szCs w:val="24"/>
                <w:lang w:eastAsia="en-CA"/>
              </w:rPr>
            </w:pPr>
          </w:p>
        </w:tc>
      </w:tr>
      <w:tr w:rsidR="00E01219" w:rsidRPr="00E01219" w:rsidTr="00E01219">
        <w:tc>
          <w:tcPr>
            <w:tcW w:w="2135" w:type="dxa"/>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Risque d'explosion</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Le produit n'est pas explosif</w:t>
            </w:r>
          </w:p>
        </w:tc>
        <w:tc>
          <w:tcPr>
            <w:tcW w:w="0" w:type="auto"/>
            <w:hideMark/>
          </w:tcPr>
          <w:p w:rsidR="00E01219" w:rsidRPr="00E01219" w:rsidRDefault="00E01219" w:rsidP="00E01219">
            <w:pPr>
              <w:spacing w:after="0" w:line="240" w:lineRule="auto"/>
              <w:rPr>
                <w:rFonts w:ascii="Times New Roman" w:eastAsia="Times New Roman" w:hAnsi="Times New Roman" w:cs="Times New Roman"/>
                <w:sz w:val="24"/>
                <w:szCs w:val="24"/>
                <w:lang w:eastAsia="en-CA"/>
              </w:rPr>
            </w:pPr>
          </w:p>
        </w:tc>
      </w:tr>
      <w:tr w:rsidR="00E01219" w:rsidRPr="00E01219" w:rsidTr="00E01219">
        <w:tc>
          <w:tcPr>
            <w:tcW w:w="2135" w:type="dxa"/>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Réactivité</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Stable à température ambiante et dans des conditions normales d'utilisation.</w:t>
            </w:r>
          </w:p>
        </w:tc>
        <w:tc>
          <w:tcPr>
            <w:tcW w:w="0" w:type="auto"/>
            <w:hideMark/>
          </w:tcPr>
          <w:p w:rsidR="00E01219" w:rsidRPr="00E01219" w:rsidRDefault="00E01219" w:rsidP="00E01219">
            <w:pPr>
              <w:spacing w:after="0" w:line="240" w:lineRule="auto"/>
              <w:rPr>
                <w:rFonts w:ascii="Times New Roman" w:eastAsia="Times New Roman" w:hAnsi="Times New Roman" w:cs="Times New Roman"/>
                <w:sz w:val="24"/>
                <w:szCs w:val="24"/>
                <w:lang w:eastAsia="en-CA"/>
              </w:rPr>
            </w:pPr>
          </w:p>
        </w:tc>
      </w:tr>
      <w:tr w:rsidR="00E01219" w:rsidRPr="00E01219" w:rsidTr="00E01219">
        <w:tc>
          <w:tcPr>
            <w:tcW w:w="9350" w:type="dxa"/>
            <w:gridSpan w:val="5"/>
            <w:shd w:val="clear" w:color="auto" w:fill="E2EFD9"/>
            <w:tcMar>
              <w:top w:w="0" w:type="dxa"/>
              <w:left w:w="108" w:type="dxa"/>
              <w:bottom w:w="0" w:type="dxa"/>
              <w:right w:w="108" w:type="dxa"/>
            </w:tcMar>
            <w:hideMark/>
          </w:tcPr>
          <w:p w:rsidR="00E01219" w:rsidRPr="00E01219" w:rsidRDefault="00E01219" w:rsidP="00E01219">
            <w:pPr>
              <w:spacing w:before="100" w:after="0" w:line="207" w:lineRule="atLeast"/>
              <w:rPr>
                <w:rFonts w:ascii="Times New Roman" w:eastAsia="Times New Roman" w:hAnsi="Times New Roman" w:cs="Times New Roman"/>
                <w:sz w:val="18"/>
                <w:szCs w:val="18"/>
                <w:lang w:eastAsia="en-CA"/>
              </w:rPr>
            </w:pPr>
            <w:r w:rsidRPr="00E01219">
              <w:rPr>
                <w:rFonts w:ascii="Calibri Light" w:eastAsia="Times New Roman" w:hAnsi="Calibri Light" w:cs="Times New Roman"/>
                <w:b/>
                <w:bCs/>
                <w:sz w:val="18"/>
                <w:szCs w:val="18"/>
                <w:lang w:eastAsia="en-CA"/>
              </w:rPr>
              <w:t>5.3 ÉQUIPEMENT DE PROTECTION SPÉCIAL ET PRÉCAUTIONS POUR LES CHASSEURS D'INCENDIE</w:t>
            </w:r>
          </w:p>
        </w:tc>
        <w:tc>
          <w:tcPr>
            <w:tcW w:w="0" w:type="auto"/>
            <w:hideMark/>
          </w:tcPr>
          <w:p w:rsidR="00E01219" w:rsidRPr="00E01219" w:rsidRDefault="00E01219" w:rsidP="00E01219">
            <w:pPr>
              <w:spacing w:after="0" w:line="240" w:lineRule="auto"/>
              <w:rPr>
                <w:rFonts w:ascii="Times New Roman" w:eastAsia="Times New Roman" w:hAnsi="Times New Roman" w:cs="Times New Roman"/>
                <w:sz w:val="18"/>
                <w:szCs w:val="18"/>
                <w:lang w:eastAsia="en-CA"/>
              </w:rPr>
            </w:pPr>
          </w:p>
        </w:tc>
      </w:tr>
      <w:tr w:rsidR="00E01219" w:rsidRPr="00E01219" w:rsidTr="00E01219">
        <w:tc>
          <w:tcPr>
            <w:tcW w:w="2135" w:type="dxa"/>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Instructions de lutte contre l'incendie</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Gardez le vent debout.</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z w:val="20"/>
                <w:szCs w:val="20"/>
                <w:lang w:eastAsia="en-CA"/>
              </w:rPr>
              <w:t>Dans des conditions de feu, cette matière peut produire: des oxydes de potassium;</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z w:val="20"/>
                <w:szCs w:val="20"/>
                <w:lang w:eastAsia="en-CA"/>
              </w:rPr>
              <w:t>Chlorure d'hydrogène;</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z w:val="20"/>
                <w:szCs w:val="20"/>
                <w:lang w:eastAsia="en-CA"/>
              </w:rPr>
              <w:t>Chlore gazeux</w:t>
            </w:r>
          </w:p>
        </w:tc>
        <w:tc>
          <w:tcPr>
            <w:tcW w:w="0" w:type="auto"/>
            <w:hideMark/>
          </w:tcPr>
          <w:p w:rsidR="00E01219" w:rsidRPr="00E01219" w:rsidRDefault="00E01219" w:rsidP="00E01219">
            <w:pPr>
              <w:spacing w:after="0" w:line="240" w:lineRule="auto"/>
              <w:rPr>
                <w:rFonts w:ascii="Times New Roman" w:eastAsia="Times New Roman" w:hAnsi="Times New Roman" w:cs="Times New Roman"/>
                <w:sz w:val="24"/>
                <w:szCs w:val="24"/>
                <w:lang w:eastAsia="en-CA"/>
              </w:rPr>
            </w:pPr>
          </w:p>
        </w:tc>
      </w:tr>
      <w:tr w:rsidR="00E01219" w:rsidRPr="00E01219" w:rsidTr="00E01219">
        <w:tc>
          <w:tcPr>
            <w:tcW w:w="2135" w:type="dxa"/>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lastRenderedPageBreak/>
              <w:t>Protection pendant la lutte contre l'incendie</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Portez un équipement complet de lutte contre les incendies (équipement Bunker complet) et une protection respiratoire (SCBA).</w:t>
            </w:r>
          </w:p>
        </w:tc>
        <w:tc>
          <w:tcPr>
            <w:tcW w:w="0" w:type="auto"/>
            <w:hideMark/>
          </w:tcPr>
          <w:p w:rsidR="00E01219" w:rsidRPr="00E01219" w:rsidRDefault="00E01219" w:rsidP="00E01219">
            <w:pPr>
              <w:spacing w:after="0" w:line="240" w:lineRule="auto"/>
              <w:rPr>
                <w:rFonts w:ascii="Times New Roman" w:eastAsia="Times New Roman" w:hAnsi="Times New Roman" w:cs="Times New Roman"/>
                <w:sz w:val="24"/>
                <w:szCs w:val="24"/>
                <w:lang w:eastAsia="en-CA"/>
              </w:rPr>
            </w:pPr>
          </w:p>
        </w:tc>
      </w:tr>
      <w:tr w:rsidR="00E01219" w:rsidRPr="00E01219" w:rsidTr="00E01219">
        <w:tc>
          <w:tcPr>
            <w:tcW w:w="2135" w:type="dxa"/>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les autres informations</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Ne</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z w:val="20"/>
                <w:szCs w:val="20"/>
                <w:lang w:eastAsia="en-CA"/>
              </w:rPr>
              <w:t>doivent</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z w:val="20"/>
                <w:szCs w:val="20"/>
                <w:lang w:eastAsia="en-CA"/>
              </w:rPr>
              <w:t>pas tous</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z w:val="20"/>
                <w:szCs w:val="20"/>
                <w:lang w:eastAsia="en-CA"/>
              </w:rPr>
              <w:t>s'échapper</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z w:val="20"/>
                <w:szCs w:val="20"/>
                <w:lang w:eastAsia="en-CA"/>
              </w:rPr>
              <w:t>du feu pour entrer dans les égouts ou les cours d'eau.</w:t>
            </w:r>
          </w:p>
        </w:tc>
        <w:tc>
          <w:tcPr>
            <w:tcW w:w="0" w:type="auto"/>
            <w:hideMark/>
          </w:tcPr>
          <w:p w:rsidR="00E01219" w:rsidRPr="00E01219" w:rsidRDefault="00E01219" w:rsidP="00E01219">
            <w:pPr>
              <w:spacing w:after="0" w:line="240" w:lineRule="auto"/>
              <w:rPr>
                <w:rFonts w:ascii="Times New Roman" w:eastAsia="Times New Roman" w:hAnsi="Times New Roman" w:cs="Times New Roman"/>
                <w:sz w:val="24"/>
                <w:szCs w:val="24"/>
                <w:lang w:eastAsia="en-CA"/>
              </w:rPr>
            </w:pPr>
          </w:p>
        </w:tc>
      </w:tr>
      <w:tr w:rsidR="00E01219" w:rsidRPr="00E01219" w:rsidTr="00E01219">
        <w:tc>
          <w:tcPr>
            <w:tcW w:w="9350" w:type="dxa"/>
            <w:gridSpan w:val="5"/>
            <w:shd w:val="clear" w:color="auto" w:fill="C5E0B3"/>
            <w:tcMar>
              <w:top w:w="0" w:type="dxa"/>
              <w:left w:w="108" w:type="dxa"/>
              <w:bottom w:w="0" w:type="dxa"/>
              <w:right w:w="108" w:type="dxa"/>
            </w:tcMar>
            <w:hideMark/>
          </w:tcPr>
          <w:p w:rsidR="00E01219" w:rsidRPr="00E01219" w:rsidRDefault="00E01219" w:rsidP="00E01219">
            <w:pPr>
              <w:spacing w:before="100" w:after="0" w:line="230" w:lineRule="atLeast"/>
              <w:rPr>
                <w:rFonts w:ascii="Times New Roman" w:eastAsia="Times New Roman" w:hAnsi="Times New Roman" w:cs="Times New Roman"/>
                <w:sz w:val="20"/>
                <w:szCs w:val="20"/>
                <w:lang w:eastAsia="en-CA"/>
              </w:rPr>
            </w:pPr>
            <w:r w:rsidRPr="00E01219">
              <w:rPr>
                <w:rFonts w:ascii="Calibri Light" w:eastAsia="Times New Roman" w:hAnsi="Calibri Light" w:cs="Times New Roman"/>
                <w:b/>
                <w:bCs/>
                <w:sz w:val="20"/>
                <w:szCs w:val="20"/>
                <w:lang w:eastAsia="en-CA"/>
              </w:rPr>
              <w:t>SECTION 6. MESURE DE REJET ACCIDENTEL</w:t>
            </w:r>
          </w:p>
        </w:tc>
        <w:tc>
          <w:tcPr>
            <w:tcW w:w="0" w:type="auto"/>
            <w:hideMark/>
          </w:tcPr>
          <w:p w:rsidR="00E01219" w:rsidRPr="00E01219" w:rsidRDefault="00E01219" w:rsidP="00E01219">
            <w:pPr>
              <w:spacing w:after="0" w:line="240" w:lineRule="auto"/>
              <w:rPr>
                <w:rFonts w:ascii="Times New Roman" w:eastAsia="Times New Roman" w:hAnsi="Times New Roman" w:cs="Times New Roman"/>
                <w:sz w:val="20"/>
                <w:szCs w:val="20"/>
                <w:lang w:eastAsia="en-CA"/>
              </w:rPr>
            </w:pPr>
          </w:p>
        </w:tc>
      </w:tr>
      <w:tr w:rsidR="00E01219" w:rsidRPr="00E01219" w:rsidTr="00E01219">
        <w:tc>
          <w:tcPr>
            <w:tcW w:w="9350" w:type="dxa"/>
            <w:gridSpan w:val="5"/>
            <w:shd w:val="clear" w:color="auto" w:fill="E2EFD9"/>
            <w:tcMar>
              <w:top w:w="0" w:type="dxa"/>
              <w:left w:w="108" w:type="dxa"/>
              <w:bottom w:w="0" w:type="dxa"/>
              <w:right w:w="108" w:type="dxa"/>
            </w:tcMar>
            <w:hideMark/>
          </w:tcPr>
          <w:p w:rsidR="00E01219" w:rsidRPr="00E01219" w:rsidRDefault="00E01219" w:rsidP="00E01219">
            <w:pPr>
              <w:spacing w:before="100" w:after="0" w:line="207" w:lineRule="atLeast"/>
              <w:rPr>
                <w:rFonts w:ascii="Times New Roman" w:eastAsia="Times New Roman" w:hAnsi="Times New Roman" w:cs="Times New Roman"/>
                <w:sz w:val="18"/>
                <w:szCs w:val="18"/>
                <w:lang w:eastAsia="en-CA"/>
              </w:rPr>
            </w:pPr>
            <w:r w:rsidRPr="00E01219">
              <w:rPr>
                <w:rFonts w:ascii="Calibri Light" w:eastAsia="Times New Roman" w:hAnsi="Calibri Light" w:cs="Times New Roman"/>
                <w:b/>
                <w:bCs/>
                <w:sz w:val="18"/>
                <w:szCs w:val="18"/>
                <w:lang w:eastAsia="en-CA"/>
              </w:rPr>
              <w:t>6.1 PRÉCAUTIONS PERSONNELLES, ÉQUIPEMENT DE PROTECTION ET PROCÉDURES D'URGENCE</w:t>
            </w:r>
          </w:p>
        </w:tc>
        <w:tc>
          <w:tcPr>
            <w:tcW w:w="0" w:type="auto"/>
            <w:hideMark/>
          </w:tcPr>
          <w:p w:rsidR="00E01219" w:rsidRPr="00E01219" w:rsidRDefault="00E01219" w:rsidP="00E01219">
            <w:pPr>
              <w:spacing w:after="0" w:line="240" w:lineRule="auto"/>
              <w:rPr>
                <w:rFonts w:ascii="Times New Roman" w:eastAsia="Times New Roman" w:hAnsi="Times New Roman" w:cs="Times New Roman"/>
                <w:sz w:val="18"/>
                <w:szCs w:val="18"/>
                <w:lang w:eastAsia="en-CA"/>
              </w:rPr>
            </w:pPr>
          </w:p>
        </w:tc>
      </w:tr>
      <w:tr w:rsidR="00E01219" w:rsidRPr="00E01219" w:rsidTr="00E01219">
        <w:tc>
          <w:tcPr>
            <w:tcW w:w="2135" w:type="dxa"/>
            <w:tcMar>
              <w:top w:w="0" w:type="dxa"/>
              <w:left w:w="108" w:type="dxa"/>
              <w:bottom w:w="0" w:type="dxa"/>
              <w:right w:w="108" w:type="dxa"/>
            </w:tcMar>
            <w:hideMark/>
          </w:tcPr>
          <w:p w:rsidR="00E01219" w:rsidRPr="00E01219" w:rsidRDefault="00E01219" w:rsidP="00E01219">
            <w:pPr>
              <w:spacing w:before="100" w:after="0" w:line="240" w:lineRule="auto"/>
              <w:ind w:left="62"/>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Mesures générales</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Ne pas respirer les fumées des incendies ou des vapeurs de décomposition</w:t>
            </w:r>
          </w:p>
        </w:tc>
        <w:tc>
          <w:tcPr>
            <w:tcW w:w="0" w:type="auto"/>
            <w:hideMark/>
          </w:tcPr>
          <w:p w:rsidR="00E01219" w:rsidRPr="00E01219" w:rsidRDefault="00E01219" w:rsidP="00E01219">
            <w:pPr>
              <w:spacing w:after="0" w:line="240" w:lineRule="auto"/>
              <w:rPr>
                <w:rFonts w:ascii="Times New Roman" w:eastAsia="Times New Roman" w:hAnsi="Times New Roman" w:cs="Times New Roman"/>
                <w:sz w:val="24"/>
                <w:szCs w:val="24"/>
                <w:lang w:eastAsia="en-CA"/>
              </w:rPr>
            </w:pPr>
          </w:p>
        </w:tc>
      </w:tr>
      <w:tr w:rsidR="00E01219" w:rsidRPr="00E01219" w:rsidTr="00E01219">
        <w:tc>
          <w:tcPr>
            <w:tcW w:w="2135" w:type="dxa"/>
            <w:tcMar>
              <w:top w:w="0" w:type="dxa"/>
              <w:left w:w="108" w:type="dxa"/>
              <w:bottom w:w="0" w:type="dxa"/>
              <w:right w:w="108" w:type="dxa"/>
            </w:tcMar>
            <w:hideMark/>
          </w:tcPr>
          <w:p w:rsidR="00E01219" w:rsidRPr="00E01219" w:rsidRDefault="00E01219" w:rsidP="00E01219">
            <w:pPr>
              <w:spacing w:before="100" w:after="0" w:line="240" w:lineRule="auto"/>
              <w:ind w:left="62"/>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Équipement de protection pour le personnel d'urgence et non urgent</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Porter des vêtements de protection appropriés, des gants et une protection pour les yeux / le visage, y compris des lunettes étanches dans les zones à forte concentration de poussière.</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z w:val="20"/>
                <w:szCs w:val="20"/>
                <w:lang w:eastAsia="en-CA"/>
              </w:rPr>
              <w:t>Porter un équipement de protection respiratoire approuvé par le NIOSH lorsque les conditions de travail justifient l'utilisation d'un respirateur.</w:t>
            </w:r>
          </w:p>
        </w:tc>
        <w:tc>
          <w:tcPr>
            <w:tcW w:w="0" w:type="auto"/>
            <w:hideMark/>
          </w:tcPr>
          <w:p w:rsidR="00E01219" w:rsidRPr="00E01219" w:rsidRDefault="00E01219" w:rsidP="00E01219">
            <w:pPr>
              <w:spacing w:after="0" w:line="240" w:lineRule="auto"/>
              <w:rPr>
                <w:rFonts w:ascii="Times New Roman" w:eastAsia="Times New Roman" w:hAnsi="Times New Roman" w:cs="Times New Roman"/>
                <w:sz w:val="24"/>
                <w:szCs w:val="24"/>
                <w:lang w:eastAsia="en-CA"/>
              </w:rPr>
            </w:pPr>
          </w:p>
        </w:tc>
      </w:tr>
      <w:tr w:rsidR="00E01219" w:rsidRPr="00E01219" w:rsidTr="00E01219">
        <w:tc>
          <w:tcPr>
            <w:tcW w:w="2135" w:type="dxa"/>
            <w:tcMar>
              <w:top w:w="0" w:type="dxa"/>
              <w:left w:w="108" w:type="dxa"/>
              <w:bottom w:w="0" w:type="dxa"/>
              <w:right w:w="108" w:type="dxa"/>
            </w:tcMar>
            <w:hideMark/>
          </w:tcPr>
          <w:p w:rsidR="00E01219" w:rsidRPr="00E01219" w:rsidRDefault="00E01219" w:rsidP="00E01219">
            <w:pPr>
              <w:spacing w:before="100" w:after="0" w:line="240" w:lineRule="auto"/>
              <w:ind w:left="62"/>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Procédures d'urgence</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Si possible, arrêtez l'écoulement du produit.</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z w:val="20"/>
                <w:szCs w:val="20"/>
                <w:lang w:eastAsia="en-CA"/>
              </w:rPr>
              <w:t>Contenir et collecter comme tout solide.Ventiler la zone.</w:t>
            </w:r>
          </w:p>
        </w:tc>
        <w:tc>
          <w:tcPr>
            <w:tcW w:w="0" w:type="auto"/>
            <w:hideMark/>
          </w:tcPr>
          <w:p w:rsidR="00E01219" w:rsidRPr="00E01219" w:rsidRDefault="00E01219" w:rsidP="00E01219">
            <w:pPr>
              <w:spacing w:after="0" w:line="240" w:lineRule="auto"/>
              <w:rPr>
                <w:rFonts w:ascii="Times New Roman" w:eastAsia="Times New Roman" w:hAnsi="Times New Roman" w:cs="Times New Roman"/>
                <w:sz w:val="24"/>
                <w:szCs w:val="24"/>
                <w:lang w:eastAsia="en-CA"/>
              </w:rPr>
            </w:pPr>
          </w:p>
        </w:tc>
      </w:tr>
      <w:tr w:rsidR="00E01219" w:rsidRPr="00E01219" w:rsidTr="00E01219">
        <w:trPr>
          <w:gridAfter w:val="1"/>
          <w:wAfter w:w="586" w:type="dxa"/>
        </w:trPr>
        <w:tc>
          <w:tcPr>
            <w:tcW w:w="9350" w:type="dxa"/>
            <w:gridSpan w:val="5"/>
            <w:shd w:val="clear" w:color="auto" w:fill="E2EFD9"/>
            <w:tcMar>
              <w:top w:w="0" w:type="dxa"/>
              <w:left w:w="108" w:type="dxa"/>
              <w:bottom w:w="0" w:type="dxa"/>
              <w:right w:w="108" w:type="dxa"/>
            </w:tcMar>
            <w:hideMark/>
          </w:tcPr>
          <w:p w:rsidR="00E01219" w:rsidRPr="00E01219" w:rsidRDefault="00E01219" w:rsidP="00E01219">
            <w:pPr>
              <w:spacing w:before="100" w:after="0" w:line="207" w:lineRule="atLeast"/>
              <w:rPr>
                <w:rFonts w:ascii="Times New Roman" w:eastAsia="Times New Roman" w:hAnsi="Times New Roman" w:cs="Times New Roman"/>
                <w:sz w:val="18"/>
                <w:szCs w:val="18"/>
                <w:lang w:eastAsia="en-CA"/>
              </w:rPr>
            </w:pPr>
            <w:r w:rsidRPr="00E01219">
              <w:rPr>
                <w:rFonts w:ascii="Calibri Light" w:eastAsia="Times New Roman" w:hAnsi="Calibri Light" w:cs="Times New Roman"/>
                <w:b/>
                <w:bCs/>
                <w:sz w:val="18"/>
                <w:szCs w:val="18"/>
                <w:lang w:eastAsia="en-CA"/>
              </w:rPr>
              <w:t>6.2 PRÉCAUTIONS ENVIRONNEMENTALES</w:t>
            </w:r>
          </w:p>
        </w:tc>
      </w:tr>
      <w:tr w:rsidR="00E01219" w:rsidRPr="00E01219" w:rsidTr="00E01219">
        <w:trPr>
          <w:gridAfter w:val="1"/>
          <w:wAfter w:w="586" w:type="dxa"/>
        </w:trPr>
        <w:tc>
          <w:tcPr>
            <w:tcW w:w="9350" w:type="dxa"/>
            <w:gridSpan w:val="5"/>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Si le déversement peut éventuellement pénétrer dans une voie navigable, y compris dans les ruisseaux secs intermittents, communiquez avec le CENTRE NATIONAL DE RÉPONSE DE LA GARDE-CÔTIÈRE DES ÉTATS-UNIS au 800-424-8802.</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z w:val="20"/>
                <w:szCs w:val="20"/>
                <w:lang w:eastAsia="en-CA"/>
              </w:rPr>
              <w:t>En cas d'accident ou de déversement sur la route, aviser CHEMTREC au 800</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z w:val="20"/>
                <w:szCs w:val="20"/>
                <w:lang w:eastAsia="en-CA"/>
              </w:rPr>
              <w:t>-</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z w:val="20"/>
                <w:szCs w:val="20"/>
                <w:lang w:eastAsia="en-CA"/>
              </w:rPr>
              <w:t>424</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z w:val="20"/>
                <w:szCs w:val="20"/>
                <w:lang w:eastAsia="en-CA"/>
              </w:rPr>
              <w:t>-</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z w:val="20"/>
                <w:szCs w:val="20"/>
                <w:lang w:eastAsia="en-CA"/>
              </w:rPr>
              <w:t>9300 (aux États-Unis) ou à CANUTEC au 613-996-6666 (au Canada).</w:t>
            </w:r>
            <w:r w:rsidRPr="00E01219">
              <w:rPr>
                <w:rFonts w:ascii="Times New Roman" w:eastAsia="Times New Roman" w:hAnsi="Times New Roman" w:cs="Times New Roman"/>
                <w:sz w:val="24"/>
                <w:szCs w:val="24"/>
                <w:lang w:eastAsia="en-CA"/>
              </w:rPr>
              <w:t> </w:t>
            </w:r>
            <w:proofErr w:type="gramStart"/>
            <w:r w:rsidRPr="00E01219">
              <w:rPr>
                <w:rFonts w:ascii="Calibri Light" w:eastAsia="Times New Roman" w:hAnsi="Calibri Light" w:cs="Times New Roman"/>
                <w:sz w:val="20"/>
                <w:szCs w:val="20"/>
                <w:lang w:eastAsia="en-CA"/>
              </w:rPr>
              <w:t>Dans</w:t>
            </w:r>
            <w:proofErr w:type="gramEnd"/>
            <w:r w:rsidRPr="00E01219">
              <w:rPr>
                <w:rFonts w:ascii="Calibri Light" w:eastAsia="Times New Roman" w:hAnsi="Calibri Light" w:cs="Times New Roman"/>
                <w:sz w:val="20"/>
                <w:szCs w:val="20"/>
                <w:lang w:eastAsia="en-CA"/>
              </w:rPr>
              <w:t xml:space="preserve"> les autres pays, appelez CHEMTREC à (code international) + 1-703-527-3887.</w:t>
            </w:r>
          </w:p>
        </w:tc>
      </w:tr>
      <w:tr w:rsidR="00E01219" w:rsidRPr="00E01219" w:rsidTr="00E01219">
        <w:trPr>
          <w:gridAfter w:val="1"/>
          <w:wAfter w:w="586" w:type="dxa"/>
        </w:trPr>
        <w:tc>
          <w:tcPr>
            <w:tcW w:w="9350" w:type="dxa"/>
            <w:gridSpan w:val="5"/>
            <w:shd w:val="clear" w:color="auto" w:fill="E2EFD9"/>
            <w:tcMar>
              <w:top w:w="0" w:type="dxa"/>
              <w:left w:w="108" w:type="dxa"/>
              <w:bottom w:w="0" w:type="dxa"/>
              <w:right w:w="108" w:type="dxa"/>
            </w:tcMar>
            <w:hideMark/>
          </w:tcPr>
          <w:p w:rsidR="00E01219" w:rsidRPr="00E01219" w:rsidRDefault="00E01219" w:rsidP="00E01219">
            <w:pPr>
              <w:spacing w:before="100" w:after="0" w:line="207" w:lineRule="atLeast"/>
              <w:rPr>
                <w:rFonts w:ascii="Times New Roman" w:eastAsia="Times New Roman" w:hAnsi="Times New Roman" w:cs="Times New Roman"/>
                <w:sz w:val="18"/>
                <w:szCs w:val="18"/>
                <w:lang w:eastAsia="en-CA"/>
              </w:rPr>
            </w:pPr>
            <w:r w:rsidRPr="00E01219">
              <w:rPr>
                <w:rFonts w:ascii="Calibri Light" w:eastAsia="Times New Roman" w:hAnsi="Calibri Light" w:cs="Times New Roman"/>
                <w:b/>
                <w:bCs/>
                <w:sz w:val="18"/>
                <w:szCs w:val="18"/>
                <w:lang w:eastAsia="en-CA"/>
              </w:rPr>
              <w:t>6.3 MÉTHODES ET MATÉRIEL DE CONFINEMENT ET DE NETTOYAGE</w:t>
            </w:r>
          </w:p>
        </w:tc>
      </w:tr>
      <w:tr w:rsidR="00E01219" w:rsidRPr="00E01219" w:rsidTr="00E01219">
        <w:trPr>
          <w:gridAfter w:val="1"/>
          <w:wAfter w:w="586" w:type="dxa"/>
        </w:trPr>
        <w:tc>
          <w:tcPr>
            <w:tcW w:w="2135" w:type="dxa"/>
            <w:tcMar>
              <w:top w:w="0" w:type="dxa"/>
              <w:left w:w="108" w:type="dxa"/>
              <w:bottom w:w="0" w:type="dxa"/>
              <w:right w:w="108" w:type="dxa"/>
            </w:tcMar>
            <w:hideMark/>
          </w:tcPr>
          <w:p w:rsidR="00E01219" w:rsidRPr="00E01219" w:rsidRDefault="00E01219" w:rsidP="00E01219">
            <w:pPr>
              <w:spacing w:before="100" w:after="0" w:line="240" w:lineRule="auto"/>
              <w:ind w:left="62"/>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Pour le confinement</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Contenir et collecter comme tout solide.</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z w:val="20"/>
                <w:szCs w:val="20"/>
                <w:lang w:eastAsia="en-CA"/>
              </w:rPr>
              <w:t>Ne pas laisser dans les égouts ou les cours d'eau ou les éliminer là où les eaux souterraines ou de surface peuvent être affectées.</w:t>
            </w:r>
          </w:p>
        </w:tc>
      </w:tr>
      <w:tr w:rsidR="00E01219" w:rsidRPr="00E01219" w:rsidTr="00E01219">
        <w:trPr>
          <w:gridAfter w:val="1"/>
          <w:wAfter w:w="586" w:type="dxa"/>
        </w:trPr>
        <w:tc>
          <w:tcPr>
            <w:tcW w:w="2135" w:type="dxa"/>
            <w:tcMar>
              <w:top w:w="0" w:type="dxa"/>
              <w:left w:w="108" w:type="dxa"/>
              <w:bottom w:w="0" w:type="dxa"/>
              <w:right w:w="108" w:type="dxa"/>
            </w:tcMar>
            <w:hideMark/>
          </w:tcPr>
          <w:p w:rsidR="00E01219" w:rsidRPr="00E01219" w:rsidRDefault="00E01219" w:rsidP="00E01219">
            <w:pPr>
              <w:spacing w:before="100" w:after="0" w:line="240" w:lineRule="auto"/>
              <w:ind w:left="62"/>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Méthodes de nettoyage</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Récupérez le produit en passant l'aspirateur, en le pelletant ou en le balayant.</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z w:val="20"/>
                <w:szCs w:val="20"/>
                <w:lang w:eastAsia="en-CA"/>
              </w:rPr>
              <w:t>Éviter la génération de poussière pendant le nettoyage des déversements.</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z w:val="20"/>
                <w:szCs w:val="20"/>
                <w:lang w:eastAsia="en-CA"/>
              </w:rPr>
              <w:t>S'il n'est pas contaminé, le récupérer et le réutiliser comme produit.</w:t>
            </w:r>
          </w:p>
        </w:tc>
      </w:tr>
      <w:tr w:rsidR="00E01219" w:rsidRPr="00E01219" w:rsidTr="00E01219">
        <w:trPr>
          <w:gridAfter w:val="1"/>
          <w:wAfter w:w="586" w:type="dxa"/>
        </w:trPr>
        <w:tc>
          <w:tcPr>
            <w:tcW w:w="9350" w:type="dxa"/>
            <w:gridSpan w:val="5"/>
            <w:shd w:val="clear" w:color="auto" w:fill="E2EFD9"/>
            <w:tcMar>
              <w:top w:w="0" w:type="dxa"/>
              <w:left w:w="108" w:type="dxa"/>
              <w:bottom w:w="0" w:type="dxa"/>
              <w:right w:w="108" w:type="dxa"/>
            </w:tcMar>
            <w:hideMark/>
          </w:tcPr>
          <w:p w:rsidR="00E01219" w:rsidRPr="00E01219" w:rsidRDefault="00E01219" w:rsidP="00E01219">
            <w:pPr>
              <w:spacing w:before="100" w:after="0" w:line="207" w:lineRule="atLeast"/>
              <w:rPr>
                <w:rFonts w:ascii="Times New Roman" w:eastAsia="Times New Roman" w:hAnsi="Times New Roman" w:cs="Times New Roman"/>
                <w:sz w:val="18"/>
                <w:szCs w:val="18"/>
                <w:lang w:eastAsia="en-CA"/>
              </w:rPr>
            </w:pPr>
            <w:r w:rsidRPr="00E01219">
              <w:rPr>
                <w:rFonts w:ascii="Calibri Light" w:eastAsia="Times New Roman" w:hAnsi="Calibri Light" w:cs="Times New Roman"/>
                <w:b/>
                <w:bCs/>
                <w:sz w:val="18"/>
                <w:szCs w:val="18"/>
                <w:lang w:eastAsia="en-CA"/>
              </w:rPr>
              <w:t>6.4 RÉFÉRENCE À D'AUTRES SECTIONS</w:t>
            </w:r>
          </w:p>
        </w:tc>
      </w:tr>
      <w:tr w:rsidR="00E01219" w:rsidRPr="00E01219" w:rsidTr="00E01219">
        <w:trPr>
          <w:gridAfter w:val="1"/>
          <w:wAfter w:w="586" w:type="dxa"/>
        </w:trPr>
        <w:tc>
          <w:tcPr>
            <w:tcW w:w="9350" w:type="dxa"/>
            <w:gridSpan w:val="5"/>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Aucune information supplémentaire disponible.</w:t>
            </w:r>
          </w:p>
        </w:tc>
      </w:tr>
      <w:tr w:rsidR="00E01219" w:rsidRPr="00E01219" w:rsidTr="00E01219">
        <w:trPr>
          <w:gridAfter w:val="1"/>
          <w:wAfter w:w="586" w:type="dxa"/>
        </w:trPr>
        <w:tc>
          <w:tcPr>
            <w:tcW w:w="9350" w:type="dxa"/>
            <w:gridSpan w:val="5"/>
            <w:shd w:val="clear" w:color="auto" w:fill="C5E0B3"/>
            <w:tcMar>
              <w:top w:w="0" w:type="dxa"/>
              <w:left w:w="108" w:type="dxa"/>
              <w:bottom w:w="0" w:type="dxa"/>
              <w:right w:w="108" w:type="dxa"/>
            </w:tcMar>
            <w:hideMark/>
          </w:tcPr>
          <w:p w:rsidR="00E01219" w:rsidRPr="00E01219" w:rsidRDefault="00E01219" w:rsidP="00E01219">
            <w:pPr>
              <w:spacing w:before="100" w:after="0" w:line="230" w:lineRule="atLeast"/>
              <w:rPr>
                <w:rFonts w:ascii="Times New Roman" w:eastAsia="Times New Roman" w:hAnsi="Times New Roman" w:cs="Times New Roman"/>
                <w:sz w:val="20"/>
                <w:szCs w:val="20"/>
                <w:lang w:eastAsia="en-CA"/>
              </w:rPr>
            </w:pPr>
            <w:r w:rsidRPr="00E01219">
              <w:rPr>
                <w:rFonts w:ascii="Calibri Light" w:eastAsia="Times New Roman" w:hAnsi="Calibri Light" w:cs="Times New Roman"/>
                <w:b/>
                <w:bCs/>
                <w:sz w:val="20"/>
                <w:szCs w:val="20"/>
                <w:lang w:eastAsia="en-CA"/>
              </w:rPr>
              <w:t>SECTION 7. MANIPULATION ET STOCKAGE</w:t>
            </w:r>
          </w:p>
        </w:tc>
      </w:tr>
      <w:tr w:rsidR="00E01219" w:rsidRPr="00E01219" w:rsidTr="00E01219">
        <w:trPr>
          <w:gridAfter w:val="1"/>
          <w:wAfter w:w="586" w:type="dxa"/>
        </w:trPr>
        <w:tc>
          <w:tcPr>
            <w:tcW w:w="9350" w:type="dxa"/>
            <w:gridSpan w:val="5"/>
            <w:shd w:val="clear" w:color="auto" w:fill="E2EFD9"/>
            <w:tcMar>
              <w:top w:w="0" w:type="dxa"/>
              <w:left w:w="108" w:type="dxa"/>
              <w:bottom w:w="0" w:type="dxa"/>
              <w:right w:w="108" w:type="dxa"/>
            </w:tcMar>
            <w:hideMark/>
          </w:tcPr>
          <w:p w:rsidR="00E01219" w:rsidRPr="00E01219" w:rsidRDefault="00E01219" w:rsidP="00E01219">
            <w:pPr>
              <w:spacing w:before="100" w:after="0" w:line="207" w:lineRule="atLeast"/>
              <w:rPr>
                <w:rFonts w:ascii="Times New Roman" w:eastAsia="Times New Roman" w:hAnsi="Times New Roman" w:cs="Times New Roman"/>
                <w:sz w:val="18"/>
                <w:szCs w:val="18"/>
                <w:lang w:eastAsia="en-CA"/>
              </w:rPr>
            </w:pPr>
            <w:r w:rsidRPr="00E01219">
              <w:rPr>
                <w:rFonts w:ascii="Calibri Light" w:eastAsia="Times New Roman" w:hAnsi="Calibri Light" w:cs="Times New Roman"/>
                <w:b/>
                <w:bCs/>
                <w:sz w:val="18"/>
                <w:szCs w:val="18"/>
                <w:lang w:eastAsia="en-CA"/>
              </w:rPr>
              <w:t>7.1 PRÉCAUTIONS DE MANIPULATION SÉCURITAIRE</w:t>
            </w:r>
          </w:p>
        </w:tc>
      </w:tr>
      <w:tr w:rsidR="00E01219" w:rsidRPr="00E01219" w:rsidTr="00E01219">
        <w:trPr>
          <w:gridAfter w:val="1"/>
          <w:wAfter w:w="586" w:type="dxa"/>
        </w:trPr>
        <w:tc>
          <w:tcPr>
            <w:tcW w:w="2135" w:type="dxa"/>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Dangers supplémentaires lors du traitement:</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Lorsqu'il est chauffé, le matériau émet des fumées irritantes.</w:t>
            </w:r>
          </w:p>
        </w:tc>
      </w:tr>
      <w:tr w:rsidR="00E01219" w:rsidRPr="00E01219" w:rsidTr="00E01219">
        <w:trPr>
          <w:gridAfter w:val="1"/>
          <w:wAfter w:w="586" w:type="dxa"/>
        </w:trPr>
        <w:tc>
          <w:tcPr>
            <w:tcW w:w="2135" w:type="dxa"/>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Précautions à prendre pour une manipulation sans danger:</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Manipuler conformément aux bonnes procédures d'hygiène industrielle et de sécurité.</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z w:val="20"/>
                <w:szCs w:val="20"/>
                <w:lang w:eastAsia="en-CA"/>
              </w:rPr>
              <w:t>Eviter le contact avec la peau et les yeux.</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z w:val="20"/>
                <w:szCs w:val="20"/>
                <w:lang w:eastAsia="en-CA"/>
              </w:rPr>
              <w:t>Ne pas manger, boire ou fumer en utilisant ce produit.</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z w:val="20"/>
                <w:szCs w:val="20"/>
                <w:lang w:eastAsia="en-CA"/>
              </w:rPr>
              <w:t>Lavez-vous toujours les mains après avoir manipulé le produit.</w:t>
            </w:r>
          </w:p>
        </w:tc>
      </w:tr>
      <w:tr w:rsidR="00E01219" w:rsidRPr="00E01219" w:rsidTr="00E01219">
        <w:trPr>
          <w:gridAfter w:val="1"/>
          <w:wAfter w:w="586" w:type="dxa"/>
        </w:trPr>
        <w:tc>
          <w:tcPr>
            <w:tcW w:w="2135" w:type="dxa"/>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Mesures d'hygiène:</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Des fontaines d'urgence pour le lavage des yeux doivent être disponibles à proximité immédiate de toute exposition potentielle.</w:t>
            </w:r>
          </w:p>
        </w:tc>
      </w:tr>
      <w:tr w:rsidR="00E01219" w:rsidRPr="00E01219" w:rsidTr="00E01219">
        <w:trPr>
          <w:gridAfter w:val="1"/>
          <w:wAfter w:w="586" w:type="dxa"/>
        </w:trPr>
        <w:tc>
          <w:tcPr>
            <w:tcW w:w="9350" w:type="dxa"/>
            <w:gridSpan w:val="5"/>
            <w:shd w:val="clear" w:color="auto" w:fill="E2EFD9"/>
            <w:tcMar>
              <w:top w:w="0" w:type="dxa"/>
              <w:left w:w="108" w:type="dxa"/>
              <w:bottom w:w="0" w:type="dxa"/>
              <w:right w:w="108" w:type="dxa"/>
            </w:tcMar>
            <w:hideMark/>
          </w:tcPr>
          <w:p w:rsidR="00E01219" w:rsidRPr="00E01219" w:rsidRDefault="00E01219" w:rsidP="00E01219">
            <w:pPr>
              <w:spacing w:before="100" w:after="0" w:line="207" w:lineRule="atLeast"/>
              <w:rPr>
                <w:rFonts w:ascii="Times New Roman" w:eastAsia="Times New Roman" w:hAnsi="Times New Roman" w:cs="Times New Roman"/>
                <w:sz w:val="18"/>
                <w:szCs w:val="18"/>
                <w:lang w:eastAsia="en-CA"/>
              </w:rPr>
            </w:pPr>
            <w:r w:rsidRPr="00E01219">
              <w:rPr>
                <w:rFonts w:ascii="Calibri Light" w:eastAsia="Times New Roman" w:hAnsi="Calibri Light" w:cs="Times New Roman"/>
                <w:b/>
                <w:bCs/>
                <w:sz w:val="18"/>
                <w:szCs w:val="18"/>
                <w:lang w:eastAsia="en-CA"/>
              </w:rPr>
              <w:t>7.2 CONDITIONS DE STOCKAGE SÛR</w:t>
            </w:r>
          </w:p>
        </w:tc>
      </w:tr>
      <w:tr w:rsidR="00E01219" w:rsidRPr="00E01219" w:rsidTr="00E01219">
        <w:trPr>
          <w:gridAfter w:val="1"/>
          <w:wAfter w:w="586" w:type="dxa"/>
        </w:trPr>
        <w:tc>
          <w:tcPr>
            <w:tcW w:w="2135" w:type="dxa"/>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Conditions de stockage:</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Conserver hermétiquement fermé dans un endroit sec, frais et bien ventilé</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z w:val="20"/>
                <w:szCs w:val="20"/>
                <w:lang w:eastAsia="en-CA"/>
              </w:rPr>
              <w:t>.Protéger de l'humidité et de préférence en dessous de 70% d'humidité relative.</w:t>
            </w:r>
          </w:p>
        </w:tc>
      </w:tr>
      <w:tr w:rsidR="00E01219" w:rsidRPr="00E01219" w:rsidTr="00E01219">
        <w:trPr>
          <w:gridAfter w:val="1"/>
          <w:wAfter w:w="586" w:type="dxa"/>
        </w:trPr>
        <w:tc>
          <w:tcPr>
            <w:tcW w:w="2135" w:type="dxa"/>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Règles spéciales sur l'emballage:</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Éviter tout contact avec de l'aluminium ou de l'acier au carbone pour minimiser la corrosion.</w:t>
            </w:r>
          </w:p>
        </w:tc>
      </w:tr>
      <w:tr w:rsidR="00E01219" w:rsidRPr="00E01219" w:rsidTr="00E01219">
        <w:trPr>
          <w:gridAfter w:val="1"/>
          <w:wAfter w:w="586" w:type="dxa"/>
        </w:trPr>
        <w:tc>
          <w:tcPr>
            <w:tcW w:w="2135" w:type="dxa"/>
            <w:tcMar>
              <w:top w:w="0" w:type="dxa"/>
              <w:left w:w="108" w:type="dxa"/>
              <w:bottom w:w="0" w:type="dxa"/>
              <w:right w:w="108" w:type="dxa"/>
            </w:tcMar>
          </w:tcPr>
          <w:p w:rsidR="00E01219" w:rsidRPr="00E01219" w:rsidRDefault="00E01219" w:rsidP="00E01219">
            <w:pPr>
              <w:spacing w:before="100" w:after="0" w:line="240" w:lineRule="auto"/>
              <w:rPr>
                <w:rFonts w:ascii="Calibri Light" w:eastAsia="Times New Roman" w:hAnsi="Calibri Light" w:cs="Times New Roman"/>
                <w:b/>
                <w:bCs/>
                <w:sz w:val="20"/>
                <w:szCs w:val="20"/>
                <w:lang w:eastAsia="en-CA"/>
              </w:rPr>
            </w:pPr>
          </w:p>
        </w:tc>
        <w:tc>
          <w:tcPr>
            <w:tcW w:w="7215" w:type="dxa"/>
            <w:gridSpan w:val="4"/>
            <w:tcMar>
              <w:top w:w="0" w:type="dxa"/>
              <w:left w:w="108" w:type="dxa"/>
              <w:bottom w:w="0" w:type="dxa"/>
              <w:right w:w="108" w:type="dxa"/>
            </w:tcMar>
          </w:tcPr>
          <w:p w:rsidR="00E01219" w:rsidRPr="00E01219" w:rsidRDefault="00E01219" w:rsidP="00E01219">
            <w:pPr>
              <w:spacing w:before="100" w:after="0" w:line="240" w:lineRule="auto"/>
              <w:rPr>
                <w:rFonts w:ascii="Calibri Light" w:eastAsia="Times New Roman" w:hAnsi="Calibri Light" w:cs="Times New Roman"/>
                <w:sz w:val="20"/>
                <w:szCs w:val="20"/>
                <w:lang w:eastAsia="en-CA"/>
              </w:rPr>
            </w:pPr>
          </w:p>
        </w:tc>
      </w:tr>
      <w:tr w:rsidR="00E01219" w:rsidRPr="00E01219" w:rsidTr="00E01219">
        <w:trPr>
          <w:gridAfter w:val="1"/>
          <w:wAfter w:w="586" w:type="dxa"/>
        </w:trPr>
        <w:tc>
          <w:tcPr>
            <w:tcW w:w="9350" w:type="dxa"/>
            <w:gridSpan w:val="5"/>
            <w:shd w:val="clear" w:color="auto" w:fill="C5E0B3"/>
            <w:tcMar>
              <w:top w:w="0" w:type="dxa"/>
              <w:left w:w="108" w:type="dxa"/>
              <w:bottom w:w="0" w:type="dxa"/>
              <w:right w:w="108" w:type="dxa"/>
            </w:tcMar>
            <w:hideMark/>
          </w:tcPr>
          <w:p w:rsidR="00E01219" w:rsidRPr="00E01219" w:rsidRDefault="00E01219" w:rsidP="00E01219">
            <w:pPr>
              <w:spacing w:before="100" w:after="0" w:line="230" w:lineRule="atLeast"/>
              <w:rPr>
                <w:rFonts w:ascii="Times New Roman" w:eastAsia="Times New Roman" w:hAnsi="Times New Roman" w:cs="Times New Roman"/>
                <w:sz w:val="20"/>
                <w:szCs w:val="20"/>
                <w:lang w:eastAsia="en-CA"/>
              </w:rPr>
            </w:pPr>
            <w:r w:rsidRPr="00E01219">
              <w:rPr>
                <w:rFonts w:ascii="Calibri Light" w:eastAsia="Times New Roman" w:hAnsi="Calibri Light" w:cs="Times New Roman"/>
                <w:b/>
                <w:bCs/>
                <w:sz w:val="20"/>
                <w:szCs w:val="20"/>
                <w:lang w:eastAsia="en-CA"/>
              </w:rPr>
              <w:lastRenderedPageBreak/>
              <w:t>SECTION 8. CONTRÔLE DE L'EXPOSITION / PROTECTION INDIVIDUELLE</w:t>
            </w:r>
          </w:p>
        </w:tc>
      </w:tr>
      <w:tr w:rsidR="00E01219" w:rsidRPr="00E01219" w:rsidTr="00E01219">
        <w:trPr>
          <w:gridAfter w:val="1"/>
          <w:wAfter w:w="586" w:type="dxa"/>
        </w:trPr>
        <w:tc>
          <w:tcPr>
            <w:tcW w:w="9350" w:type="dxa"/>
            <w:gridSpan w:val="5"/>
            <w:shd w:val="clear" w:color="auto" w:fill="E2EFD9"/>
            <w:tcMar>
              <w:top w:w="0" w:type="dxa"/>
              <w:left w:w="108" w:type="dxa"/>
              <w:bottom w:w="0" w:type="dxa"/>
              <w:right w:w="108" w:type="dxa"/>
            </w:tcMar>
            <w:hideMark/>
          </w:tcPr>
          <w:p w:rsidR="00E01219" w:rsidRPr="00E01219" w:rsidRDefault="00E01219" w:rsidP="00E01219">
            <w:pPr>
              <w:spacing w:before="100" w:after="0" w:line="207" w:lineRule="atLeast"/>
              <w:rPr>
                <w:rFonts w:ascii="Times New Roman" w:eastAsia="Times New Roman" w:hAnsi="Times New Roman" w:cs="Times New Roman"/>
                <w:sz w:val="18"/>
                <w:szCs w:val="18"/>
                <w:lang w:eastAsia="en-CA"/>
              </w:rPr>
            </w:pPr>
            <w:r w:rsidRPr="00E01219">
              <w:rPr>
                <w:rFonts w:ascii="Calibri Light" w:eastAsia="Times New Roman" w:hAnsi="Calibri Light" w:cs="Times New Roman"/>
                <w:b/>
                <w:bCs/>
                <w:sz w:val="18"/>
                <w:szCs w:val="18"/>
                <w:lang w:eastAsia="en-CA"/>
              </w:rPr>
              <w:t>8.1 PARAMÈTRES DE CONTRÔLE</w:t>
            </w:r>
          </w:p>
        </w:tc>
      </w:tr>
      <w:tr w:rsidR="00E01219" w:rsidRPr="00E01219" w:rsidTr="00E01219">
        <w:trPr>
          <w:gridAfter w:val="1"/>
          <w:wAfter w:w="586" w:type="dxa"/>
        </w:trPr>
        <w:tc>
          <w:tcPr>
            <w:tcW w:w="9350" w:type="dxa"/>
            <w:gridSpan w:val="5"/>
            <w:tcMar>
              <w:top w:w="0" w:type="dxa"/>
              <w:left w:w="108" w:type="dxa"/>
              <w:bottom w:w="0" w:type="dxa"/>
              <w:right w:w="108" w:type="dxa"/>
            </w:tcMar>
            <w:hideMark/>
          </w:tcPr>
          <w:p w:rsidR="00E01219" w:rsidRPr="00E01219" w:rsidRDefault="00E01219" w:rsidP="00E01219">
            <w:pPr>
              <w:spacing w:before="57"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pacing w:val="-1"/>
                <w:lang w:eastAsia="en-CA"/>
              </w:rPr>
              <w:t>Très</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pacing w:val="-1"/>
                <w:lang w:eastAsia="en-CA"/>
              </w:rPr>
              <w:t>soluble</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lang w:eastAsia="en-CA"/>
              </w:rPr>
              <w:t>-</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pacing w:val="-1"/>
                <w:lang w:eastAsia="en-CA"/>
              </w:rPr>
              <w:t>Pas d'ACGIH</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pacing w:val="-1"/>
                <w:lang w:eastAsia="en-CA"/>
              </w:rPr>
              <w:t>TWA,</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pacing w:val="-1"/>
                <w:lang w:eastAsia="en-CA"/>
              </w:rPr>
              <w:t>Particules</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pacing w:val="-1"/>
                <w:lang w:eastAsia="en-CA"/>
              </w:rPr>
              <w:t>ne pas</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pacing w:val="-1"/>
                <w:lang w:eastAsia="en-CA"/>
              </w:rPr>
              <w:t>Autrement</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pacing w:val="-1"/>
                <w:lang w:eastAsia="en-CA"/>
              </w:rPr>
              <w:t>Spécifié</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pacing w:val="-1"/>
                <w:lang w:eastAsia="en-CA"/>
              </w:rPr>
              <w:t>(PNOS)</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pacing w:val="-1"/>
                <w:lang w:eastAsia="en-CA"/>
              </w:rPr>
              <w:t>ne pas</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pacing w:val="-1"/>
                <w:lang w:eastAsia="en-CA"/>
              </w:rPr>
              <w:t>approprié</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pacing w:val="-1"/>
                <w:lang w:eastAsia="en-CA"/>
              </w:rPr>
              <w:t>pourtrès</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pacing w:val="-1"/>
                <w:lang w:eastAsia="en-CA"/>
              </w:rPr>
              <w:t>soluble</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pacing w:val="-1"/>
                <w:lang w:eastAsia="en-CA"/>
              </w:rPr>
              <w:t>Matériel.</w:t>
            </w:r>
          </w:p>
        </w:tc>
      </w:tr>
      <w:tr w:rsidR="00E01219" w:rsidRPr="00E01219" w:rsidTr="00E01219">
        <w:trPr>
          <w:gridAfter w:val="1"/>
          <w:wAfter w:w="586" w:type="dxa"/>
        </w:trPr>
        <w:tc>
          <w:tcPr>
            <w:tcW w:w="9350" w:type="dxa"/>
            <w:gridSpan w:val="5"/>
            <w:shd w:val="clear" w:color="auto" w:fill="E2EFD9"/>
            <w:tcMar>
              <w:top w:w="0" w:type="dxa"/>
              <w:left w:w="108" w:type="dxa"/>
              <w:bottom w:w="0" w:type="dxa"/>
              <w:right w:w="108" w:type="dxa"/>
            </w:tcMar>
            <w:hideMark/>
          </w:tcPr>
          <w:p w:rsidR="00E01219" w:rsidRPr="00E01219" w:rsidRDefault="00E01219" w:rsidP="00E01219">
            <w:pPr>
              <w:spacing w:before="100" w:after="0" w:line="207" w:lineRule="atLeast"/>
              <w:rPr>
                <w:rFonts w:ascii="Times New Roman" w:eastAsia="Times New Roman" w:hAnsi="Times New Roman" w:cs="Times New Roman"/>
                <w:sz w:val="18"/>
                <w:szCs w:val="18"/>
                <w:lang w:eastAsia="en-CA"/>
              </w:rPr>
            </w:pPr>
            <w:r w:rsidRPr="00E01219">
              <w:rPr>
                <w:rFonts w:ascii="Calibri Light" w:eastAsia="Times New Roman" w:hAnsi="Calibri Light" w:cs="Times New Roman"/>
                <w:b/>
                <w:bCs/>
                <w:sz w:val="18"/>
                <w:szCs w:val="18"/>
                <w:lang w:eastAsia="en-CA"/>
              </w:rPr>
              <w:t>8.2 CONTRÔLES D'EXPOSITION</w:t>
            </w:r>
          </w:p>
        </w:tc>
      </w:tr>
      <w:tr w:rsidR="00E01219" w:rsidRPr="00E01219" w:rsidTr="00E01219">
        <w:trPr>
          <w:gridAfter w:val="1"/>
          <w:wAfter w:w="586" w:type="dxa"/>
        </w:trPr>
        <w:tc>
          <w:tcPr>
            <w:tcW w:w="2135" w:type="dxa"/>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Contrôles d'ingénierie appropriés</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b/>
                <w:bCs/>
                <w:sz w:val="20"/>
                <w:szCs w:val="20"/>
                <w:lang w:eastAsia="en-CA"/>
              </w:rPr>
              <w:t>:</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Assurer une ventilation adéquate</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z w:val="20"/>
                <w:szCs w:val="20"/>
                <w:lang w:eastAsia="en-CA"/>
              </w:rPr>
              <w:t>(en particulier dans les zones confinées), stations de lavage des yeux.</w:t>
            </w:r>
          </w:p>
        </w:tc>
      </w:tr>
      <w:tr w:rsidR="00E01219" w:rsidRPr="00E01219" w:rsidTr="00E01219">
        <w:trPr>
          <w:gridAfter w:val="1"/>
          <w:wAfter w:w="586" w:type="dxa"/>
        </w:trPr>
        <w:tc>
          <w:tcPr>
            <w:tcW w:w="2135" w:type="dxa"/>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Équipement de protection individuelle:</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Gants.</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z w:val="20"/>
                <w:szCs w:val="20"/>
                <w:lang w:eastAsia="en-CA"/>
              </w:rPr>
              <w:t>Lunettes de protection.</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z w:val="20"/>
                <w:szCs w:val="20"/>
                <w:lang w:eastAsia="en-CA"/>
              </w:rPr>
              <w:t>Vêtements de protection.</w:t>
            </w:r>
            <w:r w:rsidRPr="00E01219">
              <w:rPr>
                <w:rFonts w:ascii="Calibri Light" w:eastAsia="Times New Roman" w:hAnsi="Calibri Light" w:cs="Times New Roman"/>
                <w:spacing w:val="41"/>
                <w:position w:val="1"/>
                <w:sz w:val="24"/>
                <w:szCs w:val="24"/>
                <w:lang w:eastAsia="en-CA"/>
              </w:rPr>
              <w:t>             </w:t>
            </w:r>
          </w:p>
        </w:tc>
      </w:tr>
      <w:tr w:rsidR="00E01219" w:rsidRPr="00E01219" w:rsidTr="00E01219">
        <w:trPr>
          <w:gridAfter w:val="1"/>
          <w:wAfter w:w="586" w:type="dxa"/>
        </w:trPr>
        <w:tc>
          <w:tcPr>
            <w:tcW w:w="2135" w:type="dxa"/>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Protection des mains:</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Pr>
                <w:rFonts w:ascii="Calibri Light" w:eastAsia="Times New Roman" w:hAnsi="Calibri Light" w:cs="Times New Roman"/>
                <w:noProof/>
                <w:spacing w:val="41"/>
                <w:position w:val="1"/>
                <w:sz w:val="24"/>
                <w:szCs w:val="24"/>
                <w:lang w:eastAsia="en-CA"/>
              </w:rPr>
              <w:drawing>
                <wp:anchor distT="0" distB="0" distL="114300" distR="114300" simplePos="0" relativeHeight="251658240" behindDoc="0" locked="0" layoutInCell="1" allowOverlap="1">
                  <wp:simplePos x="0" y="0"/>
                  <wp:positionH relativeFrom="column">
                    <wp:posOffset>3033395</wp:posOffset>
                  </wp:positionH>
                  <wp:positionV relativeFrom="paragraph">
                    <wp:posOffset>-390525</wp:posOffset>
                  </wp:positionV>
                  <wp:extent cx="1428750" cy="4787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478790"/>
                          </a:xfrm>
                          <a:prstGeom prst="rect">
                            <a:avLst/>
                          </a:prstGeom>
                          <a:noFill/>
                        </pic:spPr>
                      </pic:pic>
                    </a:graphicData>
                  </a:graphic>
                </wp:anchor>
              </w:drawing>
            </w:r>
            <w:r w:rsidRPr="00E01219">
              <w:rPr>
                <w:rFonts w:ascii="Calibri Light" w:eastAsia="Times New Roman" w:hAnsi="Calibri Light" w:cs="Times New Roman"/>
                <w:sz w:val="20"/>
                <w:szCs w:val="20"/>
                <w:lang w:eastAsia="en-CA"/>
              </w:rPr>
              <w:t>Gants de protection imperméables.</w:t>
            </w:r>
          </w:p>
        </w:tc>
      </w:tr>
      <w:tr w:rsidR="00E01219" w:rsidRPr="00E01219" w:rsidTr="00E01219">
        <w:trPr>
          <w:gridAfter w:val="1"/>
          <w:wAfter w:w="586" w:type="dxa"/>
        </w:trPr>
        <w:tc>
          <w:tcPr>
            <w:tcW w:w="2135" w:type="dxa"/>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Protection des yeux:</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Lunettes de protection et lunettes de sécurité</w:t>
            </w:r>
          </w:p>
        </w:tc>
      </w:tr>
      <w:tr w:rsidR="00E01219" w:rsidRPr="00E01219" w:rsidTr="00E01219">
        <w:trPr>
          <w:gridAfter w:val="1"/>
          <w:wAfter w:w="586" w:type="dxa"/>
        </w:trPr>
        <w:tc>
          <w:tcPr>
            <w:tcW w:w="2135" w:type="dxa"/>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Protection de la peau et du corps</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Des fontaines d'urgence pour les yeux et des douches de sécurité doivent être disponibles à proximité immédiate de toute exposition potentielle.</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z w:val="20"/>
                <w:szCs w:val="20"/>
                <w:lang w:eastAsia="en-CA"/>
              </w:rPr>
              <w:t>Porter des vêtements de protection appropriés.</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z w:val="20"/>
                <w:szCs w:val="20"/>
                <w:lang w:eastAsia="en-CA"/>
              </w:rPr>
              <w:t>Laver les vêtements contaminés avant de les réutiliser.</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z w:val="20"/>
                <w:szCs w:val="20"/>
                <w:lang w:eastAsia="en-CA"/>
              </w:rPr>
              <w:t>Manipuler conformément aux bonnes pratiques d'hygiène industrielle et de sécurité.</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z w:val="20"/>
                <w:szCs w:val="20"/>
                <w:lang w:eastAsia="en-CA"/>
              </w:rPr>
              <w:t>Laver les vêtements fréquemment.</w:t>
            </w:r>
          </w:p>
        </w:tc>
      </w:tr>
      <w:tr w:rsidR="00E01219" w:rsidRPr="00E01219" w:rsidTr="00E01219">
        <w:trPr>
          <w:gridAfter w:val="1"/>
          <w:wAfter w:w="586" w:type="dxa"/>
        </w:trPr>
        <w:tc>
          <w:tcPr>
            <w:tcW w:w="2135" w:type="dxa"/>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Chaussure:</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Ordinaire</w:t>
            </w:r>
          </w:p>
        </w:tc>
      </w:tr>
      <w:tr w:rsidR="00E01219" w:rsidRPr="00E01219" w:rsidTr="00E01219">
        <w:trPr>
          <w:gridAfter w:val="1"/>
          <w:wAfter w:w="586" w:type="dxa"/>
        </w:trPr>
        <w:tc>
          <w:tcPr>
            <w:tcW w:w="2135" w:type="dxa"/>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Protection respiratoire:</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Utiliser un appareil de protection respiratoire à adduction d'air purifié ou à adduction d'air approuvé par le NIOSH lorsque les concentrations de poussières dans l'air dépassent les limites d'exposition.</w:t>
            </w:r>
          </w:p>
        </w:tc>
      </w:tr>
      <w:tr w:rsidR="00E01219" w:rsidRPr="00E01219" w:rsidTr="00E01219">
        <w:trPr>
          <w:gridAfter w:val="1"/>
          <w:wAfter w:w="586" w:type="dxa"/>
        </w:trPr>
        <w:tc>
          <w:tcPr>
            <w:tcW w:w="9350" w:type="dxa"/>
            <w:gridSpan w:val="5"/>
            <w:shd w:val="clear" w:color="auto" w:fill="C5E0B3"/>
            <w:tcMar>
              <w:top w:w="0" w:type="dxa"/>
              <w:left w:w="108" w:type="dxa"/>
              <w:bottom w:w="0" w:type="dxa"/>
              <w:right w:w="108" w:type="dxa"/>
            </w:tcMar>
            <w:hideMark/>
          </w:tcPr>
          <w:p w:rsidR="00E01219" w:rsidRPr="00E01219" w:rsidRDefault="00E01219" w:rsidP="00E01219">
            <w:pPr>
              <w:spacing w:before="100" w:after="0" w:line="230" w:lineRule="atLeast"/>
              <w:rPr>
                <w:rFonts w:ascii="Times New Roman" w:eastAsia="Times New Roman" w:hAnsi="Times New Roman" w:cs="Times New Roman"/>
                <w:sz w:val="20"/>
                <w:szCs w:val="20"/>
                <w:lang w:eastAsia="en-CA"/>
              </w:rPr>
            </w:pPr>
            <w:r w:rsidRPr="00E01219">
              <w:rPr>
                <w:rFonts w:ascii="Calibri Light" w:eastAsia="Times New Roman" w:hAnsi="Calibri Light" w:cs="Times New Roman"/>
                <w:b/>
                <w:bCs/>
                <w:sz w:val="20"/>
                <w:szCs w:val="20"/>
                <w:lang w:eastAsia="en-CA"/>
              </w:rPr>
              <w:t>SECTION 9. PROPRIÉTÉS PHYSIQUES ET CHIMIQUES</w:t>
            </w:r>
          </w:p>
        </w:tc>
      </w:tr>
      <w:tr w:rsidR="00E01219" w:rsidRPr="00E01219" w:rsidTr="00E01219">
        <w:trPr>
          <w:gridAfter w:val="1"/>
          <w:wAfter w:w="586" w:type="dxa"/>
        </w:trPr>
        <w:tc>
          <w:tcPr>
            <w:tcW w:w="9350" w:type="dxa"/>
            <w:gridSpan w:val="5"/>
            <w:shd w:val="clear" w:color="auto" w:fill="E2EFD9"/>
            <w:tcMar>
              <w:top w:w="0" w:type="dxa"/>
              <w:left w:w="108" w:type="dxa"/>
              <w:bottom w:w="0" w:type="dxa"/>
              <w:right w:w="108" w:type="dxa"/>
            </w:tcMar>
            <w:hideMark/>
          </w:tcPr>
          <w:p w:rsidR="00E01219" w:rsidRPr="00E01219" w:rsidRDefault="00E01219" w:rsidP="00E01219">
            <w:pPr>
              <w:spacing w:before="100" w:after="0" w:line="207" w:lineRule="atLeast"/>
              <w:rPr>
                <w:rFonts w:ascii="Times New Roman" w:eastAsia="Times New Roman" w:hAnsi="Times New Roman" w:cs="Times New Roman"/>
                <w:sz w:val="18"/>
                <w:szCs w:val="18"/>
                <w:lang w:eastAsia="en-CA"/>
              </w:rPr>
            </w:pPr>
            <w:r w:rsidRPr="00E01219">
              <w:rPr>
                <w:rFonts w:ascii="Calibri Light" w:eastAsia="Times New Roman" w:hAnsi="Calibri Light" w:cs="Times New Roman"/>
                <w:b/>
                <w:bCs/>
                <w:sz w:val="18"/>
                <w:szCs w:val="18"/>
                <w:lang w:eastAsia="en-CA"/>
              </w:rPr>
              <w:t>9.1 INFORMATIONS SUR LES PROPRIÉTÉS PHYSIQUES ET CHIMIQUES DE BASE</w:t>
            </w:r>
          </w:p>
        </w:tc>
      </w:tr>
      <w:tr w:rsidR="00E01219" w:rsidRPr="00E01219" w:rsidTr="00E200DB">
        <w:trPr>
          <w:gridAfter w:val="1"/>
          <w:wAfter w:w="586" w:type="dxa"/>
        </w:trPr>
        <w:tc>
          <w:tcPr>
            <w:tcW w:w="2790" w:type="dxa"/>
            <w:gridSpan w:val="3"/>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État physique</w:t>
            </w:r>
          </w:p>
        </w:tc>
        <w:tc>
          <w:tcPr>
            <w:tcW w:w="6560" w:type="dxa"/>
            <w:gridSpan w:val="2"/>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Solide</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z w:val="20"/>
                <w:szCs w:val="20"/>
                <w:lang w:eastAsia="en-CA"/>
              </w:rPr>
              <w:t>(cristallin)</w:t>
            </w:r>
          </w:p>
        </w:tc>
      </w:tr>
      <w:tr w:rsidR="00E01219" w:rsidRPr="00E01219" w:rsidTr="00E200DB">
        <w:trPr>
          <w:gridAfter w:val="1"/>
          <w:wAfter w:w="586" w:type="dxa"/>
        </w:trPr>
        <w:tc>
          <w:tcPr>
            <w:tcW w:w="2790" w:type="dxa"/>
            <w:gridSpan w:val="3"/>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Couleur</w:t>
            </w:r>
          </w:p>
        </w:tc>
        <w:tc>
          <w:tcPr>
            <w:tcW w:w="6560" w:type="dxa"/>
            <w:gridSpan w:val="2"/>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Blanc à Rouge</w:t>
            </w:r>
          </w:p>
        </w:tc>
      </w:tr>
      <w:tr w:rsidR="00E01219" w:rsidRPr="00E01219" w:rsidTr="00E200DB">
        <w:trPr>
          <w:gridAfter w:val="1"/>
          <w:wAfter w:w="586" w:type="dxa"/>
        </w:trPr>
        <w:tc>
          <w:tcPr>
            <w:tcW w:w="2790" w:type="dxa"/>
            <w:gridSpan w:val="3"/>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Odeur</w:t>
            </w:r>
          </w:p>
        </w:tc>
        <w:tc>
          <w:tcPr>
            <w:tcW w:w="6560" w:type="dxa"/>
            <w:gridSpan w:val="2"/>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Aucun</w:t>
            </w:r>
          </w:p>
        </w:tc>
      </w:tr>
      <w:tr w:rsidR="00E01219" w:rsidRPr="00E01219" w:rsidTr="00E200DB">
        <w:trPr>
          <w:gridAfter w:val="1"/>
          <w:wAfter w:w="586" w:type="dxa"/>
        </w:trPr>
        <w:tc>
          <w:tcPr>
            <w:tcW w:w="2790" w:type="dxa"/>
            <w:gridSpan w:val="3"/>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Seuil d'odeur</w:t>
            </w:r>
          </w:p>
        </w:tc>
        <w:tc>
          <w:tcPr>
            <w:tcW w:w="6560" w:type="dxa"/>
            <w:gridSpan w:val="2"/>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Pas de données disponibles</w:t>
            </w:r>
          </w:p>
        </w:tc>
      </w:tr>
      <w:tr w:rsidR="00E01219" w:rsidRPr="00E01219" w:rsidTr="00E200DB">
        <w:trPr>
          <w:gridAfter w:val="1"/>
          <w:wAfter w:w="586" w:type="dxa"/>
        </w:trPr>
        <w:tc>
          <w:tcPr>
            <w:tcW w:w="2790" w:type="dxa"/>
            <w:gridSpan w:val="3"/>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pH</w:t>
            </w:r>
          </w:p>
        </w:tc>
        <w:tc>
          <w:tcPr>
            <w:tcW w:w="6560" w:type="dxa"/>
            <w:gridSpan w:val="2"/>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6-8</w:t>
            </w:r>
          </w:p>
        </w:tc>
      </w:tr>
      <w:tr w:rsidR="00E01219" w:rsidRPr="00E01219" w:rsidTr="00E200DB">
        <w:trPr>
          <w:gridAfter w:val="1"/>
          <w:wAfter w:w="586" w:type="dxa"/>
        </w:trPr>
        <w:tc>
          <w:tcPr>
            <w:tcW w:w="2790" w:type="dxa"/>
            <w:gridSpan w:val="3"/>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Taux d'évaporation relatif (butylacétate = 1)</w:t>
            </w:r>
          </w:p>
        </w:tc>
        <w:tc>
          <w:tcPr>
            <w:tcW w:w="6560" w:type="dxa"/>
            <w:gridSpan w:val="2"/>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Pas de données disponibles</w:t>
            </w:r>
          </w:p>
        </w:tc>
      </w:tr>
      <w:tr w:rsidR="00E01219" w:rsidRPr="00E01219" w:rsidTr="00E200DB">
        <w:trPr>
          <w:gridAfter w:val="1"/>
          <w:wAfter w:w="586" w:type="dxa"/>
        </w:trPr>
        <w:tc>
          <w:tcPr>
            <w:tcW w:w="2790" w:type="dxa"/>
            <w:gridSpan w:val="3"/>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Point de fusion</w:t>
            </w:r>
          </w:p>
        </w:tc>
        <w:tc>
          <w:tcPr>
            <w:tcW w:w="6560" w:type="dxa"/>
            <w:gridSpan w:val="2"/>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1473,8 ° F (801 ° C)</w:t>
            </w:r>
          </w:p>
        </w:tc>
      </w:tr>
      <w:tr w:rsidR="00E01219" w:rsidRPr="00E01219" w:rsidTr="00E200DB">
        <w:trPr>
          <w:gridAfter w:val="1"/>
          <w:wAfter w:w="586" w:type="dxa"/>
        </w:trPr>
        <w:tc>
          <w:tcPr>
            <w:tcW w:w="2790" w:type="dxa"/>
            <w:gridSpan w:val="3"/>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Point de congélation</w:t>
            </w:r>
          </w:p>
        </w:tc>
        <w:tc>
          <w:tcPr>
            <w:tcW w:w="6560" w:type="dxa"/>
            <w:gridSpan w:val="2"/>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Pas de données disponibles</w:t>
            </w:r>
          </w:p>
        </w:tc>
      </w:tr>
      <w:tr w:rsidR="00E01219" w:rsidRPr="00E01219" w:rsidTr="00E200DB">
        <w:trPr>
          <w:gridAfter w:val="1"/>
          <w:wAfter w:w="586" w:type="dxa"/>
        </w:trPr>
        <w:tc>
          <w:tcPr>
            <w:tcW w:w="2790" w:type="dxa"/>
            <w:gridSpan w:val="3"/>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Point d'ébullition</w:t>
            </w:r>
          </w:p>
        </w:tc>
        <w:tc>
          <w:tcPr>
            <w:tcW w:w="6560" w:type="dxa"/>
            <w:gridSpan w:val="2"/>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2669ºF (1465 ° C)</w:t>
            </w:r>
          </w:p>
        </w:tc>
      </w:tr>
      <w:tr w:rsidR="00E01219" w:rsidRPr="00E01219" w:rsidTr="00E200DB">
        <w:trPr>
          <w:gridAfter w:val="1"/>
          <w:wAfter w:w="586" w:type="dxa"/>
        </w:trPr>
        <w:tc>
          <w:tcPr>
            <w:tcW w:w="2790" w:type="dxa"/>
            <w:gridSpan w:val="3"/>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Point de rupture</w:t>
            </w:r>
          </w:p>
        </w:tc>
        <w:tc>
          <w:tcPr>
            <w:tcW w:w="6560" w:type="dxa"/>
            <w:gridSpan w:val="2"/>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Pas de données disponibles</w:t>
            </w:r>
          </w:p>
        </w:tc>
      </w:tr>
      <w:tr w:rsidR="00E01219" w:rsidRPr="00E01219" w:rsidTr="00E200DB">
        <w:trPr>
          <w:gridAfter w:val="1"/>
          <w:wAfter w:w="586" w:type="dxa"/>
        </w:trPr>
        <w:tc>
          <w:tcPr>
            <w:tcW w:w="2790" w:type="dxa"/>
            <w:gridSpan w:val="3"/>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Température d'auto-inflammation:</w:t>
            </w:r>
          </w:p>
        </w:tc>
        <w:tc>
          <w:tcPr>
            <w:tcW w:w="6560" w:type="dxa"/>
            <w:gridSpan w:val="2"/>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Non inflammable</w:t>
            </w:r>
          </w:p>
        </w:tc>
      </w:tr>
      <w:tr w:rsidR="00E01219" w:rsidRPr="00E01219" w:rsidTr="00E200DB">
        <w:trPr>
          <w:gridAfter w:val="1"/>
          <w:wAfter w:w="586" w:type="dxa"/>
        </w:trPr>
        <w:tc>
          <w:tcPr>
            <w:tcW w:w="2790" w:type="dxa"/>
            <w:gridSpan w:val="3"/>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Température de décomposition:</w:t>
            </w:r>
          </w:p>
        </w:tc>
        <w:tc>
          <w:tcPr>
            <w:tcW w:w="6560" w:type="dxa"/>
            <w:gridSpan w:val="2"/>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Pas de données disponibles</w:t>
            </w:r>
          </w:p>
        </w:tc>
      </w:tr>
      <w:tr w:rsidR="00E01219" w:rsidRPr="00E01219" w:rsidTr="00E200DB">
        <w:trPr>
          <w:gridAfter w:val="1"/>
          <w:wAfter w:w="586" w:type="dxa"/>
        </w:trPr>
        <w:tc>
          <w:tcPr>
            <w:tcW w:w="2790" w:type="dxa"/>
            <w:gridSpan w:val="3"/>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Inflammabilité (solide / gaz):</w:t>
            </w:r>
          </w:p>
        </w:tc>
        <w:tc>
          <w:tcPr>
            <w:tcW w:w="6560" w:type="dxa"/>
            <w:gridSpan w:val="2"/>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Non inflammable</w:t>
            </w:r>
          </w:p>
        </w:tc>
      </w:tr>
      <w:tr w:rsidR="00E01219" w:rsidRPr="00E01219" w:rsidTr="00E200DB">
        <w:trPr>
          <w:gridAfter w:val="1"/>
          <w:wAfter w:w="586" w:type="dxa"/>
        </w:trPr>
        <w:tc>
          <w:tcPr>
            <w:tcW w:w="2790" w:type="dxa"/>
            <w:gridSpan w:val="3"/>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Pression de vapeur:</w:t>
            </w:r>
          </w:p>
        </w:tc>
        <w:tc>
          <w:tcPr>
            <w:tcW w:w="6560" w:type="dxa"/>
            <w:gridSpan w:val="2"/>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Pas de données disponibles</w:t>
            </w:r>
          </w:p>
        </w:tc>
      </w:tr>
      <w:tr w:rsidR="00E01219" w:rsidRPr="00E01219" w:rsidTr="00E200DB">
        <w:trPr>
          <w:gridAfter w:val="1"/>
          <w:wAfter w:w="586" w:type="dxa"/>
        </w:trPr>
        <w:tc>
          <w:tcPr>
            <w:tcW w:w="2790" w:type="dxa"/>
            <w:gridSpan w:val="3"/>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bookmarkStart w:id="0" w:name="_GoBack" w:colFirst="1" w:colLast="1"/>
            <w:r w:rsidRPr="00E01219">
              <w:rPr>
                <w:rFonts w:ascii="Calibri Light" w:eastAsia="Times New Roman" w:hAnsi="Calibri Light" w:cs="Times New Roman"/>
                <w:b/>
                <w:bCs/>
                <w:sz w:val="20"/>
                <w:szCs w:val="20"/>
                <w:lang w:eastAsia="en-CA"/>
              </w:rPr>
              <w:lastRenderedPageBreak/>
              <w:t>Densité relative de vapeur à 20ºC:</w:t>
            </w:r>
          </w:p>
        </w:tc>
        <w:tc>
          <w:tcPr>
            <w:tcW w:w="6560" w:type="dxa"/>
            <w:gridSpan w:val="2"/>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Pas de données disponibles</w:t>
            </w:r>
          </w:p>
        </w:tc>
      </w:tr>
      <w:tr w:rsidR="00E01219" w:rsidRPr="00E01219" w:rsidTr="00E200DB">
        <w:trPr>
          <w:gridAfter w:val="1"/>
          <w:wAfter w:w="586" w:type="dxa"/>
        </w:trPr>
        <w:tc>
          <w:tcPr>
            <w:tcW w:w="2790" w:type="dxa"/>
            <w:gridSpan w:val="3"/>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Densité relative:</w:t>
            </w:r>
          </w:p>
        </w:tc>
        <w:tc>
          <w:tcPr>
            <w:tcW w:w="6560" w:type="dxa"/>
            <w:gridSpan w:val="2"/>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2,14</w:t>
            </w:r>
          </w:p>
        </w:tc>
      </w:tr>
      <w:tr w:rsidR="00E01219" w:rsidRPr="00E01219" w:rsidTr="00E200DB">
        <w:trPr>
          <w:gridAfter w:val="1"/>
          <w:wAfter w:w="586" w:type="dxa"/>
        </w:trPr>
        <w:tc>
          <w:tcPr>
            <w:tcW w:w="2790" w:type="dxa"/>
            <w:gridSpan w:val="3"/>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Densité:</w:t>
            </w:r>
          </w:p>
        </w:tc>
        <w:tc>
          <w:tcPr>
            <w:tcW w:w="6560" w:type="dxa"/>
            <w:gridSpan w:val="2"/>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Pas de données disponibles</w:t>
            </w:r>
          </w:p>
        </w:tc>
      </w:tr>
      <w:tr w:rsidR="00E01219" w:rsidRPr="00E01219" w:rsidTr="00E200DB">
        <w:trPr>
          <w:gridAfter w:val="1"/>
          <w:wAfter w:w="586" w:type="dxa"/>
        </w:trPr>
        <w:tc>
          <w:tcPr>
            <w:tcW w:w="2790" w:type="dxa"/>
            <w:gridSpan w:val="3"/>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Solubilité:</w:t>
            </w:r>
          </w:p>
        </w:tc>
        <w:tc>
          <w:tcPr>
            <w:tcW w:w="6560" w:type="dxa"/>
            <w:gridSpan w:val="2"/>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26%</w:t>
            </w:r>
          </w:p>
        </w:tc>
      </w:tr>
      <w:tr w:rsidR="00E01219" w:rsidRPr="00E01219" w:rsidTr="00E200DB">
        <w:trPr>
          <w:gridAfter w:val="1"/>
          <w:wAfter w:w="586" w:type="dxa"/>
        </w:trPr>
        <w:tc>
          <w:tcPr>
            <w:tcW w:w="2790" w:type="dxa"/>
            <w:gridSpan w:val="3"/>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Log Pow ou Log Kow</w:t>
            </w:r>
          </w:p>
        </w:tc>
        <w:tc>
          <w:tcPr>
            <w:tcW w:w="6560" w:type="dxa"/>
            <w:gridSpan w:val="2"/>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Pas de données disponibles</w:t>
            </w:r>
          </w:p>
        </w:tc>
      </w:tr>
      <w:tr w:rsidR="00E01219" w:rsidRPr="00E01219" w:rsidTr="00E200DB">
        <w:trPr>
          <w:gridAfter w:val="1"/>
          <w:wAfter w:w="586" w:type="dxa"/>
        </w:trPr>
        <w:tc>
          <w:tcPr>
            <w:tcW w:w="2790" w:type="dxa"/>
            <w:gridSpan w:val="3"/>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Viscosité</w:t>
            </w:r>
          </w:p>
        </w:tc>
        <w:tc>
          <w:tcPr>
            <w:tcW w:w="6560" w:type="dxa"/>
            <w:gridSpan w:val="2"/>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Pas de données disponibles</w:t>
            </w:r>
          </w:p>
        </w:tc>
      </w:tr>
      <w:tr w:rsidR="00E01219" w:rsidRPr="00E01219" w:rsidTr="00E200DB">
        <w:trPr>
          <w:gridAfter w:val="1"/>
          <w:wAfter w:w="586" w:type="dxa"/>
        </w:trPr>
        <w:tc>
          <w:tcPr>
            <w:tcW w:w="2790" w:type="dxa"/>
            <w:gridSpan w:val="3"/>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Propriétés explosives</w:t>
            </w:r>
          </w:p>
        </w:tc>
        <w:tc>
          <w:tcPr>
            <w:tcW w:w="6560" w:type="dxa"/>
            <w:gridSpan w:val="2"/>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Aucun connu</w:t>
            </w:r>
          </w:p>
        </w:tc>
      </w:tr>
      <w:tr w:rsidR="00E01219" w:rsidRPr="00E01219" w:rsidTr="00E200DB">
        <w:trPr>
          <w:gridAfter w:val="1"/>
          <w:wAfter w:w="586" w:type="dxa"/>
        </w:trPr>
        <w:tc>
          <w:tcPr>
            <w:tcW w:w="2790" w:type="dxa"/>
            <w:gridSpan w:val="3"/>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Propriétés oxydantes</w:t>
            </w:r>
          </w:p>
        </w:tc>
        <w:tc>
          <w:tcPr>
            <w:tcW w:w="6560" w:type="dxa"/>
            <w:gridSpan w:val="2"/>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Aucun connu</w:t>
            </w:r>
          </w:p>
        </w:tc>
      </w:tr>
      <w:tr w:rsidR="00E01219" w:rsidRPr="00E01219" w:rsidTr="00E200DB">
        <w:trPr>
          <w:gridAfter w:val="1"/>
          <w:wAfter w:w="586" w:type="dxa"/>
        </w:trPr>
        <w:tc>
          <w:tcPr>
            <w:tcW w:w="2790" w:type="dxa"/>
            <w:gridSpan w:val="3"/>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Limites d'explosivité</w:t>
            </w:r>
          </w:p>
        </w:tc>
        <w:tc>
          <w:tcPr>
            <w:tcW w:w="6560" w:type="dxa"/>
            <w:gridSpan w:val="2"/>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Pas explosif</w:t>
            </w:r>
          </w:p>
        </w:tc>
      </w:tr>
      <w:bookmarkEnd w:id="0"/>
      <w:tr w:rsidR="00E01219" w:rsidRPr="00E01219" w:rsidTr="00E01219">
        <w:trPr>
          <w:gridAfter w:val="1"/>
          <w:wAfter w:w="586" w:type="dxa"/>
        </w:trPr>
        <w:tc>
          <w:tcPr>
            <w:tcW w:w="9350" w:type="dxa"/>
            <w:gridSpan w:val="5"/>
            <w:shd w:val="clear" w:color="auto" w:fill="E2EFD9"/>
            <w:tcMar>
              <w:top w:w="0" w:type="dxa"/>
              <w:left w:w="108" w:type="dxa"/>
              <w:bottom w:w="0" w:type="dxa"/>
              <w:right w:w="108" w:type="dxa"/>
            </w:tcMar>
            <w:hideMark/>
          </w:tcPr>
          <w:p w:rsidR="00E01219" w:rsidRPr="00E01219" w:rsidRDefault="00E01219" w:rsidP="00E01219">
            <w:pPr>
              <w:spacing w:before="100" w:after="0" w:line="207" w:lineRule="atLeast"/>
              <w:rPr>
                <w:rFonts w:ascii="Times New Roman" w:eastAsia="Times New Roman" w:hAnsi="Times New Roman" w:cs="Times New Roman"/>
                <w:sz w:val="18"/>
                <w:szCs w:val="18"/>
                <w:lang w:eastAsia="en-CA"/>
              </w:rPr>
            </w:pPr>
            <w:r w:rsidRPr="00E01219">
              <w:rPr>
                <w:rFonts w:ascii="Calibri Light" w:eastAsia="Times New Roman" w:hAnsi="Calibri Light" w:cs="Times New Roman"/>
                <w:b/>
                <w:bCs/>
                <w:sz w:val="18"/>
                <w:szCs w:val="18"/>
                <w:lang w:eastAsia="en-CA"/>
              </w:rPr>
              <w:t>9.2 AUTRES INFORMATIONS</w:t>
            </w:r>
          </w:p>
        </w:tc>
      </w:tr>
      <w:tr w:rsidR="00E01219" w:rsidRPr="00E01219" w:rsidTr="00E01219">
        <w:trPr>
          <w:gridAfter w:val="1"/>
          <w:wAfter w:w="586" w:type="dxa"/>
        </w:trPr>
        <w:tc>
          <w:tcPr>
            <w:tcW w:w="2135" w:type="dxa"/>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Contenu de COV</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Pas de données disponibles</w:t>
            </w:r>
          </w:p>
        </w:tc>
      </w:tr>
      <w:tr w:rsidR="00E01219" w:rsidRPr="00E01219" w:rsidTr="00E01219">
        <w:trPr>
          <w:gridAfter w:val="1"/>
          <w:wAfter w:w="586" w:type="dxa"/>
        </w:trPr>
        <w:tc>
          <w:tcPr>
            <w:tcW w:w="2135" w:type="dxa"/>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Densité en vrac</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71-77lbs / ft</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z w:val="13"/>
                <w:szCs w:val="13"/>
                <w:vertAlign w:val="superscript"/>
                <w:lang w:eastAsia="en-CA"/>
              </w:rPr>
              <w:t>3</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z w:val="20"/>
                <w:szCs w:val="20"/>
                <w:lang w:eastAsia="en-CA"/>
              </w:rPr>
              <w:t>(1137-1234kg / m3)</w:t>
            </w:r>
          </w:p>
        </w:tc>
      </w:tr>
      <w:tr w:rsidR="00E01219" w:rsidRPr="00E01219" w:rsidTr="00E01219">
        <w:trPr>
          <w:gridAfter w:val="1"/>
          <w:wAfter w:w="586" w:type="dxa"/>
        </w:trPr>
        <w:tc>
          <w:tcPr>
            <w:tcW w:w="2135" w:type="dxa"/>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Formule moléculaire</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NaCl</w:t>
            </w:r>
          </w:p>
        </w:tc>
      </w:tr>
      <w:tr w:rsidR="00E01219" w:rsidRPr="00E01219" w:rsidTr="00E01219">
        <w:trPr>
          <w:gridAfter w:val="1"/>
          <w:wAfter w:w="586" w:type="dxa"/>
        </w:trPr>
        <w:tc>
          <w:tcPr>
            <w:tcW w:w="9350" w:type="dxa"/>
            <w:gridSpan w:val="5"/>
            <w:shd w:val="clear" w:color="auto" w:fill="C5E0B3"/>
            <w:tcMar>
              <w:top w:w="0" w:type="dxa"/>
              <w:left w:w="108" w:type="dxa"/>
              <w:bottom w:w="0" w:type="dxa"/>
              <w:right w:w="108" w:type="dxa"/>
            </w:tcMar>
            <w:hideMark/>
          </w:tcPr>
          <w:p w:rsidR="00E01219" w:rsidRPr="00E01219" w:rsidRDefault="00E01219" w:rsidP="00E01219">
            <w:pPr>
              <w:spacing w:before="100" w:after="0" w:line="230" w:lineRule="atLeast"/>
              <w:rPr>
                <w:rFonts w:ascii="Times New Roman" w:eastAsia="Times New Roman" w:hAnsi="Times New Roman" w:cs="Times New Roman"/>
                <w:sz w:val="20"/>
                <w:szCs w:val="20"/>
                <w:lang w:eastAsia="en-CA"/>
              </w:rPr>
            </w:pPr>
            <w:r w:rsidRPr="00E01219">
              <w:rPr>
                <w:rFonts w:ascii="Calibri Light" w:eastAsia="Times New Roman" w:hAnsi="Calibri Light" w:cs="Times New Roman"/>
                <w:b/>
                <w:bCs/>
                <w:sz w:val="20"/>
                <w:szCs w:val="20"/>
                <w:lang w:eastAsia="en-CA"/>
              </w:rPr>
              <w:t>SECTION 10. STABILITÉ ET RÉACTIVITÉ</w:t>
            </w:r>
          </w:p>
        </w:tc>
      </w:tr>
      <w:tr w:rsidR="00E01219" w:rsidRPr="00E01219" w:rsidTr="00E01219">
        <w:trPr>
          <w:gridAfter w:val="1"/>
          <w:wAfter w:w="586" w:type="dxa"/>
        </w:trPr>
        <w:tc>
          <w:tcPr>
            <w:tcW w:w="2135" w:type="dxa"/>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Réactivité</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Stable à température ambiante et dans des conditions normales d'utilisation.</w:t>
            </w:r>
          </w:p>
        </w:tc>
      </w:tr>
      <w:tr w:rsidR="00E01219" w:rsidRPr="00E01219" w:rsidTr="00E01219">
        <w:trPr>
          <w:gridAfter w:val="1"/>
          <w:wAfter w:w="586" w:type="dxa"/>
        </w:trPr>
        <w:tc>
          <w:tcPr>
            <w:tcW w:w="2135" w:type="dxa"/>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Stabilité chimique</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Stable à température et pression standard.</w:t>
            </w:r>
          </w:p>
        </w:tc>
      </w:tr>
      <w:tr w:rsidR="00E01219" w:rsidRPr="00E01219" w:rsidTr="00E01219">
        <w:trPr>
          <w:gridAfter w:val="1"/>
          <w:wAfter w:w="586" w:type="dxa"/>
        </w:trPr>
        <w:tc>
          <w:tcPr>
            <w:tcW w:w="2135" w:type="dxa"/>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Possibilité de réactions dangereuses</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Une polymérisation dangereuse ne se produira pas.</w:t>
            </w:r>
          </w:p>
        </w:tc>
      </w:tr>
      <w:tr w:rsidR="00E01219" w:rsidRPr="00E01219" w:rsidTr="00E01219">
        <w:trPr>
          <w:gridAfter w:val="1"/>
          <w:wAfter w:w="586" w:type="dxa"/>
        </w:trPr>
        <w:tc>
          <w:tcPr>
            <w:tcW w:w="2135" w:type="dxa"/>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Conditions à éviter</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Protéger de l'humidité.</w:t>
            </w:r>
          </w:p>
        </w:tc>
      </w:tr>
      <w:tr w:rsidR="00E01219" w:rsidRPr="00E01219" w:rsidTr="00E01219">
        <w:trPr>
          <w:gridAfter w:val="1"/>
          <w:wAfter w:w="586" w:type="dxa"/>
        </w:trPr>
        <w:tc>
          <w:tcPr>
            <w:tcW w:w="2135" w:type="dxa"/>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Matériaux incompatibles</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Le contact avec les acides libère des gaz toxiques (chlore).</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z w:val="20"/>
                <w:szCs w:val="20"/>
                <w:lang w:eastAsia="en-CA"/>
              </w:rPr>
              <w:t xml:space="preserve">Lithium, interhalogènes (bromure, triflourite, etc.), acides, </w:t>
            </w:r>
            <w:proofErr w:type="gramStart"/>
            <w:r w:rsidRPr="00E01219">
              <w:rPr>
                <w:rFonts w:ascii="Calibri Light" w:eastAsia="Times New Roman" w:hAnsi="Calibri Light" w:cs="Times New Roman"/>
                <w:sz w:val="20"/>
                <w:szCs w:val="20"/>
                <w:lang w:eastAsia="en-CA"/>
              </w:rPr>
              <w:t>agents</w:t>
            </w:r>
            <w:proofErr w:type="gramEnd"/>
            <w:r w:rsidRPr="00E01219">
              <w:rPr>
                <w:rFonts w:ascii="Calibri Light" w:eastAsia="Times New Roman" w:hAnsi="Calibri Light" w:cs="Times New Roman"/>
                <w:sz w:val="20"/>
                <w:szCs w:val="20"/>
                <w:lang w:eastAsia="en-CA"/>
              </w:rPr>
              <w:t xml:space="preserve"> oxydants.</w:t>
            </w:r>
          </w:p>
        </w:tc>
      </w:tr>
      <w:tr w:rsidR="00E01219" w:rsidRPr="00E01219" w:rsidTr="00E01219">
        <w:trPr>
          <w:gridAfter w:val="1"/>
          <w:wAfter w:w="586" w:type="dxa"/>
        </w:trPr>
        <w:tc>
          <w:tcPr>
            <w:tcW w:w="2135" w:type="dxa"/>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Produits de décomposition dangereux</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Le contact avec des acides forts peut produire du chlore gazeux d'hydrogène.</w:t>
            </w:r>
          </w:p>
        </w:tc>
      </w:tr>
      <w:tr w:rsidR="00E01219" w:rsidRPr="00E01219" w:rsidTr="00E01219">
        <w:trPr>
          <w:gridAfter w:val="1"/>
          <w:wAfter w:w="586" w:type="dxa"/>
        </w:trPr>
        <w:tc>
          <w:tcPr>
            <w:tcW w:w="9350" w:type="dxa"/>
            <w:gridSpan w:val="5"/>
            <w:shd w:val="clear" w:color="auto" w:fill="C5E0B3"/>
            <w:tcMar>
              <w:top w:w="0" w:type="dxa"/>
              <w:left w:w="108" w:type="dxa"/>
              <w:bottom w:w="0" w:type="dxa"/>
              <w:right w:w="108" w:type="dxa"/>
            </w:tcMar>
            <w:hideMark/>
          </w:tcPr>
          <w:p w:rsidR="00E01219" w:rsidRPr="00E01219" w:rsidRDefault="00E01219" w:rsidP="00E01219">
            <w:pPr>
              <w:spacing w:before="100" w:after="0" w:line="230" w:lineRule="atLeast"/>
              <w:rPr>
                <w:rFonts w:ascii="Times New Roman" w:eastAsia="Times New Roman" w:hAnsi="Times New Roman" w:cs="Times New Roman"/>
                <w:sz w:val="20"/>
                <w:szCs w:val="20"/>
                <w:lang w:eastAsia="en-CA"/>
              </w:rPr>
            </w:pPr>
            <w:r w:rsidRPr="00E01219">
              <w:rPr>
                <w:rFonts w:ascii="Calibri Light" w:eastAsia="Times New Roman" w:hAnsi="Calibri Light" w:cs="Times New Roman"/>
                <w:b/>
                <w:bCs/>
                <w:sz w:val="20"/>
                <w:szCs w:val="20"/>
                <w:lang w:eastAsia="en-CA"/>
              </w:rPr>
              <w:t>SECTION 11. INFORMATIONS TOXICOLOGIQUES</w:t>
            </w:r>
          </w:p>
        </w:tc>
      </w:tr>
      <w:tr w:rsidR="00E01219" w:rsidRPr="00E01219" w:rsidTr="00E01219">
        <w:trPr>
          <w:gridAfter w:val="1"/>
          <w:wAfter w:w="586" w:type="dxa"/>
        </w:trPr>
        <w:tc>
          <w:tcPr>
            <w:tcW w:w="2135" w:type="dxa"/>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Toxicité aiguë</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Non classés</w:t>
            </w:r>
          </w:p>
        </w:tc>
      </w:tr>
      <w:tr w:rsidR="00E01219" w:rsidRPr="00E01219" w:rsidTr="00E01219">
        <w:trPr>
          <w:gridAfter w:val="1"/>
          <w:wAfter w:w="586" w:type="dxa"/>
        </w:trPr>
        <w:tc>
          <w:tcPr>
            <w:tcW w:w="9350" w:type="dxa"/>
            <w:gridSpan w:val="5"/>
            <w:tcMar>
              <w:top w:w="0" w:type="dxa"/>
              <w:left w:w="108" w:type="dxa"/>
              <w:bottom w:w="0" w:type="dxa"/>
              <w:right w:w="108" w:type="dxa"/>
            </w:tcMar>
            <w:hideMark/>
          </w:tcPr>
          <w:p w:rsidR="00E01219" w:rsidRPr="00E01219" w:rsidRDefault="00E01219" w:rsidP="00E01219">
            <w:pPr>
              <w:spacing w:after="0" w:line="240" w:lineRule="auto"/>
              <w:rPr>
                <w:rFonts w:ascii="Times New Roman" w:eastAsia="Times New Roman" w:hAnsi="Times New Roman" w:cs="Times New Roman"/>
                <w:sz w:val="24"/>
                <w:szCs w:val="24"/>
                <w:u w:val="single"/>
                <w:lang w:eastAsia="en-CA"/>
              </w:rPr>
            </w:pPr>
            <w:r w:rsidRPr="00E01219">
              <w:rPr>
                <w:rFonts w:ascii="Calibri Light" w:eastAsia="Times New Roman" w:hAnsi="Calibri Light" w:cs="Times New Roman"/>
                <w:sz w:val="18"/>
                <w:szCs w:val="18"/>
                <w:u w:val="single"/>
                <w:lang w:eastAsia="en-CA"/>
              </w:rPr>
              <w:t>CHLORURE DE SODIUM (7647-14-5)</w:t>
            </w:r>
          </w:p>
          <w:p w:rsidR="00E01219" w:rsidRPr="00E01219" w:rsidRDefault="00E01219" w:rsidP="00E01219">
            <w:pPr>
              <w:spacing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CL50</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z w:val="20"/>
                <w:szCs w:val="20"/>
                <w:lang w:eastAsia="en-CA"/>
              </w:rPr>
              <w:t>3g / kg</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z w:val="20"/>
                <w:szCs w:val="20"/>
                <w:lang w:eastAsia="en-CA"/>
              </w:rPr>
              <w:t>DL50 (orale)</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z w:val="20"/>
                <w:szCs w:val="20"/>
                <w:lang w:eastAsia="en-CA"/>
              </w:rPr>
              <w:t>&gt; 10g / kg</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z w:val="20"/>
                <w:szCs w:val="20"/>
                <w:lang w:eastAsia="en-CA"/>
              </w:rPr>
              <w:t>          DL50 (dermique)</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z w:val="20"/>
                <w:szCs w:val="20"/>
                <w:lang w:eastAsia="en-CA"/>
              </w:rPr>
              <w:t>&gt; 42g / m3 (durée d'exposition: 1h)</w:t>
            </w:r>
          </w:p>
        </w:tc>
      </w:tr>
      <w:tr w:rsidR="00E01219" w:rsidRPr="00E01219" w:rsidTr="00E01219">
        <w:trPr>
          <w:gridAfter w:val="1"/>
          <w:wAfter w:w="586" w:type="dxa"/>
        </w:trPr>
        <w:tc>
          <w:tcPr>
            <w:tcW w:w="2135" w:type="dxa"/>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Corrosion cutanée / irritation</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Doux</w:t>
            </w:r>
          </w:p>
        </w:tc>
      </w:tr>
      <w:tr w:rsidR="00E01219" w:rsidRPr="00E01219" w:rsidTr="00E01219">
        <w:trPr>
          <w:gridAfter w:val="1"/>
          <w:wAfter w:w="586" w:type="dxa"/>
        </w:trPr>
        <w:tc>
          <w:tcPr>
            <w:tcW w:w="2135" w:type="dxa"/>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Lésions oculaires graves / irritation oculaire</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Doux - La poussière de sel peut causer une irritation des yeux.</w:t>
            </w:r>
          </w:p>
        </w:tc>
      </w:tr>
      <w:tr w:rsidR="00E01219" w:rsidRPr="00E01219" w:rsidTr="00E01219">
        <w:trPr>
          <w:gridAfter w:val="1"/>
          <w:wAfter w:w="586" w:type="dxa"/>
        </w:trPr>
        <w:tc>
          <w:tcPr>
            <w:tcW w:w="2135" w:type="dxa"/>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STOT (toxicité spécifique pour certains organes cibles) - Exposition unique</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Non classés</w:t>
            </w:r>
          </w:p>
        </w:tc>
      </w:tr>
      <w:tr w:rsidR="00E01219" w:rsidRPr="00E01219" w:rsidTr="00E01219">
        <w:trPr>
          <w:gridAfter w:val="1"/>
          <w:wAfter w:w="586" w:type="dxa"/>
        </w:trPr>
        <w:tc>
          <w:tcPr>
            <w:tcW w:w="2135" w:type="dxa"/>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STOT (Toxicité spécifique pour certains organes cibles) - Exposition répétée</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Non classés</w:t>
            </w:r>
          </w:p>
        </w:tc>
      </w:tr>
      <w:tr w:rsidR="00E01219" w:rsidRPr="00E01219" w:rsidTr="00E01219">
        <w:trPr>
          <w:gridAfter w:val="1"/>
          <w:wAfter w:w="586" w:type="dxa"/>
        </w:trPr>
        <w:tc>
          <w:tcPr>
            <w:tcW w:w="2135" w:type="dxa"/>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lastRenderedPageBreak/>
              <w:t>Danger par aspiration</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Non classés</w:t>
            </w:r>
          </w:p>
        </w:tc>
      </w:tr>
      <w:tr w:rsidR="00E01219" w:rsidRPr="00E01219" w:rsidTr="00E01219">
        <w:trPr>
          <w:gridAfter w:val="1"/>
          <w:wAfter w:w="586" w:type="dxa"/>
        </w:trPr>
        <w:tc>
          <w:tcPr>
            <w:tcW w:w="2135" w:type="dxa"/>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Sensibilisation respiratoire et / ou cutanée</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Non classés</w:t>
            </w:r>
          </w:p>
        </w:tc>
      </w:tr>
      <w:tr w:rsidR="00E01219" w:rsidRPr="00E01219" w:rsidTr="00E01219">
        <w:trPr>
          <w:gridAfter w:val="1"/>
          <w:wAfter w:w="586" w:type="dxa"/>
        </w:trPr>
        <w:tc>
          <w:tcPr>
            <w:tcW w:w="2135" w:type="dxa"/>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Toxicité pour la reproduction</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Non classés</w:t>
            </w:r>
          </w:p>
        </w:tc>
      </w:tr>
      <w:tr w:rsidR="00E01219" w:rsidRPr="00E01219" w:rsidTr="00E01219">
        <w:trPr>
          <w:gridAfter w:val="1"/>
          <w:wAfter w:w="586" w:type="dxa"/>
        </w:trPr>
        <w:tc>
          <w:tcPr>
            <w:tcW w:w="2135" w:type="dxa"/>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Mutagénicité des cellules germinales</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Non classés</w:t>
            </w:r>
          </w:p>
        </w:tc>
      </w:tr>
      <w:tr w:rsidR="00E01219" w:rsidRPr="00E01219" w:rsidTr="00E01219">
        <w:trPr>
          <w:gridAfter w:val="1"/>
          <w:wAfter w:w="586" w:type="dxa"/>
        </w:trPr>
        <w:tc>
          <w:tcPr>
            <w:tcW w:w="2135" w:type="dxa"/>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Cancérogénicité</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Non classés</w:t>
            </w:r>
          </w:p>
        </w:tc>
      </w:tr>
      <w:tr w:rsidR="00E01219" w:rsidRPr="00E01219" w:rsidTr="00E01219">
        <w:trPr>
          <w:gridAfter w:val="1"/>
          <w:wAfter w:w="586" w:type="dxa"/>
        </w:trPr>
        <w:tc>
          <w:tcPr>
            <w:tcW w:w="2135" w:type="dxa"/>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Effets sur l'organe-cible</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Reins, Yeux, Peau, Système respiratoire.</w:t>
            </w:r>
          </w:p>
        </w:tc>
      </w:tr>
      <w:tr w:rsidR="00E01219" w:rsidRPr="00E01219" w:rsidTr="00E01219">
        <w:trPr>
          <w:gridAfter w:val="1"/>
          <w:wAfter w:w="586" w:type="dxa"/>
        </w:trPr>
        <w:tc>
          <w:tcPr>
            <w:tcW w:w="9350" w:type="dxa"/>
            <w:gridSpan w:val="5"/>
            <w:shd w:val="clear" w:color="auto" w:fill="C5E0B3"/>
            <w:tcMar>
              <w:top w:w="0" w:type="dxa"/>
              <w:left w:w="108" w:type="dxa"/>
              <w:bottom w:w="0" w:type="dxa"/>
              <w:right w:w="108" w:type="dxa"/>
            </w:tcMar>
            <w:hideMark/>
          </w:tcPr>
          <w:p w:rsidR="00E01219" w:rsidRPr="00E01219" w:rsidRDefault="00E01219" w:rsidP="00E01219">
            <w:pPr>
              <w:spacing w:before="100" w:after="0" w:line="230" w:lineRule="atLeast"/>
              <w:rPr>
                <w:rFonts w:ascii="Times New Roman" w:eastAsia="Times New Roman" w:hAnsi="Times New Roman" w:cs="Times New Roman"/>
                <w:sz w:val="20"/>
                <w:szCs w:val="20"/>
                <w:lang w:eastAsia="en-CA"/>
              </w:rPr>
            </w:pPr>
            <w:r w:rsidRPr="00E01219">
              <w:rPr>
                <w:rFonts w:ascii="Calibri Light" w:eastAsia="Times New Roman" w:hAnsi="Calibri Light" w:cs="Times New Roman"/>
                <w:b/>
                <w:bCs/>
                <w:sz w:val="20"/>
                <w:szCs w:val="20"/>
                <w:lang w:eastAsia="en-CA"/>
              </w:rPr>
              <w:t>SECTION 12. INFORMATIONS ÉCOLOGIQUES</w:t>
            </w:r>
          </w:p>
        </w:tc>
      </w:tr>
      <w:tr w:rsidR="00E01219" w:rsidRPr="00E01219" w:rsidTr="00E01219">
        <w:trPr>
          <w:gridAfter w:val="1"/>
          <w:wAfter w:w="586" w:type="dxa"/>
        </w:trPr>
        <w:tc>
          <w:tcPr>
            <w:tcW w:w="2135" w:type="dxa"/>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Eco toxicité</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Le produit n'est pas classé comme dangereux pour l'environnement.</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z w:val="20"/>
                <w:szCs w:val="20"/>
                <w:lang w:eastAsia="en-CA"/>
              </w:rPr>
              <w:t>Cependant, cela n'exclut pas la possibilité que des déversements importants ou fréquents puissent avoir un effet nocif ou dommageable sur l'environnement.</w:t>
            </w:r>
          </w:p>
        </w:tc>
      </w:tr>
      <w:tr w:rsidR="00E01219" w:rsidRPr="00E01219" w:rsidTr="00E01219">
        <w:trPr>
          <w:gridAfter w:val="1"/>
          <w:wAfter w:w="586" w:type="dxa"/>
        </w:trPr>
        <w:tc>
          <w:tcPr>
            <w:tcW w:w="2135" w:type="dxa"/>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Devenir dans l'environnement</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Pas de données disponibles</w:t>
            </w:r>
          </w:p>
        </w:tc>
      </w:tr>
      <w:tr w:rsidR="00E01219" w:rsidRPr="00E01219" w:rsidTr="00E01219">
        <w:trPr>
          <w:gridAfter w:val="1"/>
          <w:wAfter w:w="586" w:type="dxa"/>
        </w:trPr>
        <w:tc>
          <w:tcPr>
            <w:tcW w:w="2135" w:type="dxa"/>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Toxicité</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Pas de données disponibles</w:t>
            </w:r>
          </w:p>
        </w:tc>
      </w:tr>
      <w:tr w:rsidR="00E01219" w:rsidRPr="00E01219" w:rsidTr="00E01219">
        <w:trPr>
          <w:gridAfter w:val="1"/>
          <w:wAfter w:w="586" w:type="dxa"/>
        </w:trPr>
        <w:tc>
          <w:tcPr>
            <w:tcW w:w="2135" w:type="dxa"/>
            <w:tcMar>
              <w:top w:w="0" w:type="dxa"/>
              <w:left w:w="108" w:type="dxa"/>
              <w:bottom w:w="0" w:type="dxa"/>
              <w:right w:w="108" w:type="dxa"/>
            </w:tcMar>
            <w:hideMark/>
          </w:tcPr>
          <w:p w:rsidR="00E01219" w:rsidRPr="00E01219" w:rsidRDefault="00E01219" w:rsidP="00E01219">
            <w:pPr>
              <w:spacing w:before="100" w:after="20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Produits de dégradation</w:t>
            </w:r>
          </w:p>
        </w:tc>
        <w:tc>
          <w:tcPr>
            <w:tcW w:w="7215" w:type="dxa"/>
            <w:gridSpan w:val="4"/>
            <w:tcMar>
              <w:top w:w="0" w:type="dxa"/>
              <w:left w:w="108" w:type="dxa"/>
              <w:bottom w:w="0" w:type="dxa"/>
              <w:right w:w="108" w:type="dxa"/>
            </w:tcMar>
            <w:hideMark/>
          </w:tcPr>
          <w:p w:rsidR="00E01219" w:rsidRPr="00E01219" w:rsidRDefault="00E01219" w:rsidP="00E01219">
            <w:pPr>
              <w:spacing w:before="100" w:after="20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Pas de données disponibles</w:t>
            </w:r>
          </w:p>
        </w:tc>
      </w:tr>
      <w:tr w:rsidR="00E01219" w:rsidRPr="00E01219" w:rsidTr="00E01219">
        <w:trPr>
          <w:gridAfter w:val="1"/>
          <w:wAfter w:w="586" w:type="dxa"/>
        </w:trPr>
        <w:tc>
          <w:tcPr>
            <w:tcW w:w="9350" w:type="dxa"/>
            <w:gridSpan w:val="5"/>
            <w:shd w:val="clear" w:color="auto" w:fill="C5E0B3"/>
            <w:tcMar>
              <w:top w:w="0" w:type="dxa"/>
              <w:left w:w="108" w:type="dxa"/>
              <w:bottom w:w="0" w:type="dxa"/>
              <w:right w:w="108" w:type="dxa"/>
            </w:tcMar>
            <w:hideMark/>
          </w:tcPr>
          <w:p w:rsidR="00E01219" w:rsidRPr="00E01219" w:rsidRDefault="00E01219" w:rsidP="00E01219">
            <w:pPr>
              <w:spacing w:before="100" w:after="0" w:line="230" w:lineRule="atLeast"/>
              <w:rPr>
                <w:rFonts w:ascii="Times New Roman" w:eastAsia="Times New Roman" w:hAnsi="Times New Roman" w:cs="Times New Roman"/>
                <w:sz w:val="20"/>
                <w:szCs w:val="20"/>
                <w:lang w:eastAsia="en-CA"/>
              </w:rPr>
            </w:pPr>
            <w:r w:rsidRPr="00E01219">
              <w:rPr>
                <w:rFonts w:ascii="Calibri Light" w:eastAsia="Times New Roman" w:hAnsi="Calibri Light" w:cs="Times New Roman"/>
                <w:b/>
                <w:bCs/>
                <w:sz w:val="20"/>
                <w:szCs w:val="20"/>
                <w:lang w:eastAsia="en-CA"/>
              </w:rPr>
              <w:t>SECTION 13. CONSIDÉRATIONS RELATIVES À L'ÉLIMINATION</w:t>
            </w:r>
          </w:p>
        </w:tc>
      </w:tr>
      <w:tr w:rsidR="00E01219" w:rsidRPr="00E01219" w:rsidTr="00E01219">
        <w:trPr>
          <w:gridAfter w:val="1"/>
          <w:wAfter w:w="586" w:type="dxa"/>
        </w:trPr>
        <w:tc>
          <w:tcPr>
            <w:tcW w:w="2135" w:type="dxa"/>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Recommandations sur l'élimination des eaux usées</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Ce matériau peut être dangereux pour l'environnement aquatique.</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z w:val="20"/>
                <w:szCs w:val="20"/>
                <w:lang w:eastAsia="en-CA"/>
              </w:rPr>
              <w:t>Garder hors des égouts et des cours d'eau.</w:t>
            </w:r>
          </w:p>
        </w:tc>
      </w:tr>
      <w:tr w:rsidR="00E01219" w:rsidRPr="00E01219" w:rsidTr="00E01219">
        <w:trPr>
          <w:gridAfter w:val="1"/>
          <w:wAfter w:w="586" w:type="dxa"/>
        </w:trPr>
        <w:tc>
          <w:tcPr>
            <w:tcW w:w="2135" w:type="dxa"/>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Recommandations pour l'élimination des déchets</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Placer dans un contenant approprié et disposer du matériel contaminé sur un site autorisé.</w:t>
            </w:r>
          </w:p>
        </w:tc>
      </w:tr>
      <w:tr w:rsidR="00E01219" w:rsidRPr="00E01219" w:rsidTr="00E01219">
        <w:trPr>
          <w:gridAfter w:val="1"/>
          <w:wAfter w:w="586" w:type="dxa"/>
        </w:trPr>
        <w:tc>
          <w:tcPr>
            <w:tcW w:w="2135" w:type="dxa"/>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Information additionnelle</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Éliminer les déchets conformément à toutes les réglementations locales, régionales, nationales et internationales.</w:t>
            </w:r>
          </w:p>
        </w:tc>
      </w:tr>
      <w:tr w:rsidR="00E01219" w:rsidRPr="00E01219" w:rsidTr="00E01219">
        <w:trPr>
          <w:gridAfter w:val="1"/>
          <w:wAfter w:w="586" w:type="dxa"/>
        </w:trPr>
        <w:tc>
          <w:tcPr>
            <w:tcW w:w="9350" w:type="dxa"/>
            <w:gridSpan w:val="5"/>
            <w:shd w:val="clear" w:color="auto" w:fill="C5E0B3"/>
            <w:tcMar>
              <w:top w:w="0" w:type="dxa"/>
              <w:left w:w="108" w:type="dxa"/>
              <w:bottom w:w="0" w:type="dxa"/>
              <w:right w:w="108" w:type="dxa"/>
            </w:tcMar>
            <w:hideMark/>
          </w:tcPr>
          <w:p w:rsidR="00E01219" w:rsidRPr="00E01219" w:rsidRDefault="00E01219" w:rsidP="00E01219">
            <w:pPr>
              <w:spacing w:before="100" w:after="0" w:line="230" w:lineRule="atLeast"/>
              <w:rPr>
                <w:rFonts w:ascii="Times New Roman" w:eastAsia="Times New Roman" w:hAnsi="Times New Roman" w:cs="Times New Roman"/>
                <w:sz w:val="20"/>
                <w:szCs w:val="20"/>
                <w:lang w:eastAsia="en-CA"/>
              </w:rPr>
            </w:pPr>
            <w:r w:rsidRPr="00E01219">
              <w:rPr>
                <w:rFonts w:ascii="Calibri Light" w:eastAsia="Times New Roman" w:hAnsi="Calibri Light" w:cs="Times New Roman"/>
                <w:b/>
                <w:bCs/>
                <w:sz w:val="20"/>
                <w:szCs w:val="20"/>
                <w:lang w:eastAsia="en-CA"/>
              </w:rPr>
              <w:t>SECTION 14. INFORMATIONS RELATIVES AU TRANSPORT</w:t>
            </w:r>
          </w:p>
        </w:tc>
      </w:tr>
      <w:tr w:rsidR="00E01219" w:rsidRPr="00E01219" w:rsidTr="00E01219">
        <w:trPr>
          <w:gridAfter w:val="1"/>
          <w:wAfter w:w="586" w:type="dxa"/>
        </w:trPr>
        <w:tc>
          <w:tcPr>
            <w:tcW w:w="9350" w:type="dxa"/>
            <w:gridSpan w:val="5"/>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Conformément à DOT / TMD / ADR / RID / ADNR / IMDG / OACI / IATA</w:t>
            </w:r>
          </w:p>
        </w:tc>
      </w:tr>
      <w:tr w:rsidR="00E01219" w:rsidRPr="00E01219" w:rsidTr="00E01219">
        <w:trPr>
          <w:gridAfter w:val="1"/>
          <w:wAfter w:w="586" w:type="dxa"/>
        </w:trPr>
        <w:tc>
          <w:tcPr>
            <w:tcW w:w="9350" w:type="dxa"/>
            <w:gridSpan w:val="5"/>
            <w:tcMar>
              <w:top w:w="0" w:type="dxa"/>
              <w:left w:w="108" w:type="dxa"/>
              <w:bottom w:w="0" w:type="dxa"/>
              <w:right w:w="108" w:type="dxa"/>
            </w:tcMar>
            <w:hideMark/>
          </w:tcPr>
          <w:p w:rsidR="00E01219" w:rsidRPr="00E01219" w:rsidRDefault="00E01219" w:rsidP="00E01219">
            <w:pPr>
              <w:spacing w:before="100" w:after="0" w:line="240" w:lineRule="auto"/>
              <w:ind w:left="242"/>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Numéro ONU - Pas de produit dangereux en termes de réglementation du transport.</w:t>
            </w:r>
          </w:p>
        </w:tc>
      </w:tr>
      <w:tr w:rsidR="00E01219" w:rsidRPr="00E01219" w:rsidTr="00E01219">
        <w:trPr>
          <w:gridAfter w:val="1"/>
          <w:wAfter w:w="586" w:type="dxa"/>
        </w:trPr>
        <w:tc>
          <w:tcPr>
            <w:tcW w:w="9350" w:type="dxa"/>
            <w:gridSpan w:val="5"/>
            <w:tcMar>
              <w:top w:w="0" w:type="dxa"/>
              <w:left w:w="108" w:type="dxa"/>
              <w:bottom w:w="0" w:type="dxa"/>
              <w:right w:w="108" w:type="dxa"/>
            </w:tcMar>
            <w:hideMark/>
          </w:tcPr>
          <w:p w:rsidR="00E01219" w:rsidRPr="00E01219" w:rsidRDefault="00E01219" w:rsidP="00E01219">
            <w:pPr>
              <w:spacing w:before="100" w:after="0" w:line="240" w:lineRule="auto"/>
              <w:ind w:left="242"/>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Nom d'expédition des Nations unies - Sans objet</w:t>
            </w:r>
          </w:p>
        </w:tc>
      </w:tr>
      <w:tr w:rsidR="00E01219" w:rsidRPr="00E01219" w:rsidTr="00E01219">
        <w:trPr>
          <w:gridAfter w:val="1"/>
          <w:wAfter w:w="586" w:type="dxa"/>
        </w:trPr>
        <w:tc>
          <w:tcPr>
            <w:tcW w:w="2135" w:type="dxa"/>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Transport terrestre</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Aucune information supplémentaire disponible.</w:t>
            </w:r>
          </w:p>
        </w:tc>
      </w:tr>
      <w:tr w:rsidR="00E01219" w:rsidRPr="00E01219" w:rsidTr="00E01219">
        <w:trPr>
          <w:gridAfter w:val="1"/>
          <w:wAfter w:w="586" w:type="dxa"/>
        </w:trPr>
        <w:tc>
          <w:tcPr>
            <w:tcW w:w="2135" w:type="dxa"/>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Transport par mer</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Aucune information supplémentaire disponible.</w:t>
            </w:r>
          </w:p>
        </w:tc>
      </w:tr>
      <w:tr w:rsidR="00E01219" w:rsidRPr="00E01219" w:rsidTr="00E01219">
        <w:trPr>
          <w:gridAfter w:val="1"/>
          <w:wAfter w:w="586" w:type="dxa"/>
        </w:trPr>
        <w:tc>
          <w:tcPr>
            <w:tcW w:w="2135" w:type="dxa"/>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Transport aérien</w:t>
            </w:r>
          </w:p>
        </w:tc>
        <w:tc>
          <w:tcPr>
            <w:tcW w:w="7215"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Aucune information supplémentaire disponible.</w:t>
            </w:r>
          </w:p>
        </w:tc>
      </w:tr>
      <w:tr w:rsidR="00E01219" w:rsidRPr="00E01219" w:rsidTr="00E01219">
        <w:trPr>
          <w:gridAfter w:val="1"/>
          <w:wAfter w:w="586" w:type="dxa"/>
        </w:trPr>
        <w:tc>
          <w:tcPr>
            <w:tcW w:w="9350" w:type="dxa"/>
            <w:gridSpan w:val="5"/>
            <w:shd w:val="clear" w:color="auto" w:fill="C5E0B3"/>
            <w:tcMar>
              <w:top w:w="0" w:type="dxa"/>
              <w:left w:w="108" w:type="dxa"/>
              <w:bottom w:w="0" w:type="dxa"/>
              <w:right w:w="108" w:type="dxa"/>
            </w:tcMar>
            <w:hideMark/>
          </w:tcPr>
          <w:p w:rsidR="00E01219" w:rsidRPr="00E01219" w:rsidRDefault="00E01219" w:rsidP="00E01219">
            <w:pPr>
              <w:spacing w:before="100" w:after="0" w:line="230" w:lineRule="atLeast"/>
              <w:rPr>
                <w:rFonts w:ascii="Times New Roman" w:eastAsia="Times New Roman" w:hAnsi="Times New Roman" w:cs="Times New Roman"/>
                <w:sz w:val="20"/>
                <w:szCs w:val="20"/>
                <w:lang w:eastAsia="en-CA"/>
              </w:rPr>
            </w:pPr>
            <w:r w:rsidRPr="00E01219">
              <w:rPr>
                <w:rFonts w:ascii="Calibri Light" w:eastAsia="Times New Roman" w:hAnsi="Calibri Light" w:cs="Times New Roman"/>
                <w:b/>
                <w:bCs/>
                <w:sz w:val="20"/>
                <w:szCs w:val="20"/>
                <w:lang w:eastAsia="en-CA"/>
              </w:rPr>
              <w:t>SECTION 15. INFORMATIONS RÉGLEMENTAIRES</w:t>
            </w:r>
          </w:p>
        </w:tc>
      </w:tr>
      <w:tr w:rsidR="00E01219" w:rsidRPr="00E01219" w:rsidTr="00E01219">
        <w:trPr>
          <w:gridAfter w:val="1"/>
          <w:wAfter w:w="586" w:type="dxa"/>
        </w:trPr>
        <w:tc>
          <w:tcPr>
            <w:tcW w:w="9350" w:type="dxa"/>
            <w:gridSpan w:val="5"/>
            <w:shd w:val="clear" w:color="auto" w:fill="E2EFD9"/>
            <w:tcMar>
              <w:top w:w="0" w:type="dxa"/>
              <w:left w:w="108" w:type="dxa"/>
              <w:bottom w:w="0" w:type="dxa"/>
              <w:right w:w="108" w:type="dxa"/>
            </w:tcMar>
            <w:hideMark/>
          </w:tcPr>
          <w:p w:rsidR="00E01219" w:rsidRPr="00E01219" w:rsidRDefault="00E01219" w:rsidP="00E01219">
            <w:pPr>
              <w:spacing w:before="100" w:after="0" w:line="207" w:lineRule="atLeast"/>
              <w:rPr>
                <w:rFonts w:ascii="Times New Roman" w:eastAsia="Times New Roman" w:hAnsi="Times New Roman" w:cs="Times New Roman"/>
                <w:sz w:val="18"/>
                <w:szCs w:val="18"/>
                <w:lang w:eastAsia="en-CA"/>
              </w:rPr>
            </w:pPr>
            <w:r w:rsidRPr="00E01219">
              <w:rPr>
                <w:rFonts w:ascii="Calibri Light" w:eastAsia="Times New Roman" w:hAnsi="Calibri Light" w:cs="Times New Roman"/>
                <w:b/>
                <w:bCs/>
                <w:sz w:val="18"/>
                <w:szCs w:val="18"/>
                <w:lang w:eastAsia="en-CA"/>
              </w:rPr>
              <w:t>15.1 RÉGLEMENTATION FÉDÉRALE DES ÉTATS-UNIS</w:t>
            </w:r>
          </w:p>
        </w:tc>
      </w:tr>
      <w:tr w:rsidR="00E01219" w:rsidRPr="00E01219" w:rsidTr="00E01219">
        <w:trPr>
          <w:gridAfter w:val="1"/>
          <w:wAfter w:w="586" w:type="dxa"/>
        </w:trPr>
        <w:tc>
          <w:tcPr>
            <w:tcW w:w="9350" w:type="dxa"/>
            <w:gridSpan w:val="5"/>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Chlorure de sodium (7647-14-5) - Inscrit sur l'inventaire des États-Unis TSCA (Toxic Substances Control Act)</w:t>
            </w:r>
          </w:p>
        </w:tc>
      </w:tr>
    </w:tbl>
    <w:p w:rsidR="00E01219" w:rsidRDefault="00E01219">
      <w:r>
        <w:br w:type="page"/>
      </w:r>
    </w:p>
    <w:tbl>
      <w:tblPr>
        <w:tblW w:w="9350" w:type="dxa"/>
        <w:tblCellMar>
          <w:left w:w="0" w:type="dxa"/>
          <w:right w:w="0" w:type="dxa"/>
        </w:tblCellMar>
        <w:tblLook w:val="04A0" w:firstRow="1" w:lastRow="0" w:firstColumn="1" w:lastColumn="0" w:noHBand="0" w:noVBand="1"/>
      </w:tblPr>
      <w:tblGrid>
        <w:gridCol w:w="1870"/>
        <w:gridCol w:w="265"/>
        <w:gridCol w:w="1605"/>
        <w:gridCol w:w="1870"/>
        <w:gridCol w:w="1870"/>
        <w:gridCol w:w="31"/>
        <w:gridCol w:w="1839"/>
      </w:tblGrid>
      <w:tr w:rsidR="00E01219" w:rsidRPr="00E01219" w:rsidTr="00E01219">
        <w:tc>
          <w:tcPr>
            <w:tcW w:w="9350" w:type="dxa"/>
            <w:gridSpan w:val="7"/>
            <w:shd w:val="clear" w:color="auto" w:fill="E2EFD9"/>
            <w:tcMar>
              <w:top w:w="0" w:type="dxa"/>
              <w:left w:w="108" w:type="dxa"/>
              <w:bottom w:w="0" w:type="dxa"/>
              <w:right w:w="108" w:type="dxa"/>
            </w:tcMar>
            <w:hideMark/>
          </w:tcPr>
          <w:p w:rsidR="00E01219" w:rsidRPr="00E01219" w:rsidRDefault="00E01219" w:rsidP="00E01219">
            <w:pPr>
              <w:spacing w:before="100" w:after="0" w:line="207" w:lineRule="atLeast"/>
              <w:rPr>
                <w:rFonts w:ascii="Times New Roman" w:eastAsia="Times New Roman" w:hAnsi="Times New Roman" w:cs="Times New Roman"/>
                <w:sz w:val="18"/>
                <w:szCs w:val="18"/>
                <w:lang w:eastAsia="en-CA"/>
              </w:rPr>
            </w:pPr>
            <w:r w:rsidRPr="00E01219">
              <w:rPr>
                <w:rFonts w:ascii="Calibri Light" w:eastAsia="Times New Roman" w:hAnsi="Calibri Light" w:cs="Times New Roman"/>
                <w:b/>
                <w:bCs/>
                <w:sz w:val="18"/>
                <w:szCs w:val="18"/>
                <w:lang w:eastAsia="en-CA"/>
              </w:rPr>
              <w:lastRenderedPageBreak/>
              <w:t>15.2 RÈGLEMENT DE L'ÉTAT AMÉRICAIN</w:t>
            </w:r>
          </w:p>
        </w:tc>
      </w:tr>
      <w:tr w:rsidR="00E01219" w:rsidRPr="00E01219" w:rsidTr="00E01219">
        <w:tc>
          <w:tcPr>
            <w:tcW w:w="9350" w:type="dxa"/>
            <w:gridSpan w:val="7"/>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Les états suivants ont un programme de SST approuvé par l'OSHA.</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z w:val="20"/>
                <w:szCs w:val="20"/>
                <w:lang w:eastAsia="en-CA"/>
              </w:rPr>
              <w:t>Si vous êtes situé dans l'un de ces États, vous pouvez être sous la juridiction de l'État plutôt que de la juridiction fédérale et votre état peut avoir des exigences plus strictes que l'OSHA.</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z w:val="20"/>
                <w:szCs w:val="20"/>
                <w:lang w:eastAsia="en-CA"/>
              </w:rPr>
              <w:t>Vous devriez consulter vos règlements d'état pour assurer la conformité.</w:t>
            </w:r>
          </w:p>
        </w:tc>
      </w:tr>
      <w:tr w:rsidR="00E01219" w:rsidRPr="00E01219" w:rsidTr="00E01219">
        <w:tc>
          <w:tcPr>
            <w:tcW w:w="1870" w:type="dxa"/>
            <w:tcMar>
              <w:top w:w="0" w:type="dxa"/>
              <w:left w:w="108" w:type="dxa"/>
              <w:bottom w:w="0" w:type="dxa"/>
              <w:right w:w="108" w:type="dxa"/>
            </w:tcMar>
            <w:hideMark/>
          </w:tcPr>
          <w:p w:rsidR="00E01219" w:rsidRPr="00E01219" w:rsidRDefault="00E01219" w:rsidP="00E01219">
            <w:pPr>
              <w:spacing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Alaska</w:t>
            </w:r>
          </w:p>
          <w:p w:rsidR="00E01219" w:rsidRPr="00E01219" w:rsidRDefault="00E01219" w:rsidP="00E01219">
            <w:pPr>
              <w:spacing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Arizona</w:t>
            </w:r>
          </w:p>
          <w:p w:rsidR="00E01219" w:rsidRPr="00E01219" w:rsidRDefault="00E01219" w:rsidP="00E01219">
            <w:pPr>
              <w:spacing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Californie</w:t>
            </w:r>
          </w:p>
          <w:p w:rsidR="00E01219" w:rsidRPr="00E01219" w:rsidRDefault="00E01219" w:rsidP="00E01219">
            <w:pPr>
              <w:spacing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*Connecticut</w:t>
            </w:r>
          </w:p>
          <w:p w:rsidR="00E01219" w:rsidRPr="00E01219" w:rsidRDefault="00E01219" w:rsidP="00E01219">
            <w:pPr>
              <w:spacing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Hawaii</w:t>
            </w:r>
          </w:p>
          <w:p w:rsidR="00E01219" w:rsidRPr="00E01219" w:rsidRDefault="00E01219" w:rsidP="00E01219">
            <w:pPr>
              <w:spacing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*Illinois</w:t>
            </w:r>
          </w:p>
        </w:tc>
        <w:tc>
          <w:tcPr>
            <w:tcW w:w="1870" w:type="dxa"/>
            <w:gridSpan w:val="2"/>
            <w:tcMar>
              <w:top w:w="0" w:type="dxa"/>
              <w:left w:w="108" w:type="dxa"/>
              <w:bottom w:w="0" w:type="dxa"/>
              <w:right w:w="108" w:type="dxa"/>
            </w:tcMar>
            <w:hideMark/>
          </w:tcPr>
          <w:p w:rsidR="00E01219" w:rsidRPr="00E01219" w:rsidRDefault="00E01219" w:rsidP="00E01219">
            <w:pPr>
              <w:spacing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Indiana</w:t>
            </w:r>
          </w:p>
          <w:p w:rsidR="00E01219" w:rsidRPr="00E01219" w:rsidRDefault="00E01219" w:rsidP="00E01219">
            <w:pPr>
              <w:spacing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Iowa</w:t>
            </w:r>
          </w:p>
          <w:p w:rsidR="00E01219" w:rsidRPr="00E01219" w:rsidRDefault="00E01219" w:rsidP="00E01219">
            <w:pPr>
              <w:spacing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Kentucky</w:t>
            </w:r>
          </w:p>
          <w:p w:rsidR="00E01219" w:rsidRPr="00E01219" w:rsidRDefault="00E01219" w:rsidP="00E01219">
            <w:pPr>
              <w:spacing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Maryland</w:t>
            </w:r>
          </w:p>
          <w:p w:rsidR="00E01219" w:rsidRPr="00E01219" w:rsidRDefault="00E01219" w:rsidP="00E01219">
            <w:pPr>
              <w:spacing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Michigan</w:t>
            </w:r>
          </w:p>
          <w:p w:rsidR="00E01219" w:rsidRPr="00E01219" w:rsidRDefault="00E01219" w:rsidP="00E01219">
            <w:pPr>
              <w:spacing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Minnesota</w:t>
            </w:r>
          </w:p>
        </w:tc>
        <w:tc>
          <w:tcPr>
            <w:tcW w:w="1870" w:type="dxa"/>
            <w:tcMar>
              <w:top w:w="0" w:type="dxa"/>
              <w:left w:w="108" w:type="dxa"/>
              <w:bottom w:w="0" w:type="dxa"/>
              <w:right w:w="108" w:type="dxa"/>
            </w:tcMar>
            <w:hideMark/>
          </w:tcPr>
          <w:p w:rsidR="00E01219" w:rsidRPr="00E01219" w:rsidRDefault="00E01219" w:rsidP="00E01219">
            <w:pPr>
              <w:spacing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Nevada</w:t>
            </w:r>
          </w:p>
          <w:p w:rsidR="00E01219" w:rsidRPr="00E01219" w:rsidRDefault="00E01219" w:rsidP="00E01219">
            <w:pPr>
              <w:spacing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Nouveau Mexique</w:t>
            </w:r>
          </w:p>
          <w:p w:rsidR="00E01219" w:rsidRPr="00E01219" w:rsidRDefault="00E01219" w:rsidP="00E01219">
            <w:pPr>
              <w:spacing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*New Jersey</w:t>
            </w:r>
          </w:p>
          <w:p w:rsidR="00E01219" w:rsidRPr="00E01219" w:rsidRDefault="00E01219" w:rsidP="00E01219">
            <w:pPr>
              <w:spacing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*New York</w:t>
            </w:r>
          </w:p>
          <w:p w:rsidR="00E01219" w:rsidRPr="00E01219" w:rsidRDefault="00E01219" w:rsidP="00E01219">
            <w:pPr>
              <w:spacing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Caroline du Nord</w:t>
            </w:r>
          </w:p>
          <w:p w:rsidR="00E01219" w:rsidRPr="00E01219" w:rsidRDefault="00E01219" w:rsidP="00E01219">
            <w:pPr>
              <w:spacing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Oregon</w:t>
            </w:r>
          </w:p>
        </w:tc>
        <w:tc>
          <w:tcPr>
            <w:tcW w:w="1870" w:type="dxa"/>
            <w:tcMar>
              <w:top w:w="0" w:type="dxa"/>
              <w:left w:w="108" w:type="dxa"/>
              <w:bottom w:w="0" w:type="dxa"/>
              <w:right w:w="108" w:type="dxa"/>
            </w:tcMar>
            <w:hideMark/>
          </w:tcPr>
          <w:p w:rsidR="00E01219" w:rsidRPr="00E01219" w:rsidRDefault="00E01219" w:rsidP="00E01219">
            <w:pPr>
              <w:spacing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Porto Rico</w:t>
            </w:r>
          </w:p>
          <w:p w:rsidR="00E01219" w:rsidRPr="00E01219" w:rsidRDefault="00E01219" w:rsidP="00E01219">
            <w:pPr>
              <w:spacing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Caroline du Sud</w:t>
            </w:r>
          </w:p>
          <w:p w:rsidR="00E01219" w:rsidRPr="00E01219" w:rsidRDefault="00E01219" w:rsidP="00E01219">
            <w:pPr>
              <w:spacing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Tennessee</w:t>
            </w:r>
          </w:p>
          <w:p w:rsidR="00E01219" w:rsidRPr="00E01219" w:rsidRDefault="00E01219" w:rsidP="00E01219">
            <w:pPr>
              <w:spacing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Utah</w:t>
            </w:r>
          </w:p>
          <w:p w:rsidR="00E01219" w:rsidRPr="00E01219" w:rsidRDefault="00E01219" w:rsidP="00E01219">
            <w:pPr>
              <w:spacing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Vermont</w:t>
            </w:r>
          </w:p>
          <w:p w:rsidR="00E01219" w:rsidRPr="00E01219" w:rsidRDefault="00E01219" w:rsidP="00E01219">
            <w:pPr>
              <w:spacing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*Les iles vierges</w:t>
            </w:r>
          </w:p>
        </w:tc>
        <w:tc>
          <w:tcPr>
            <w:tcW w:w="1870" w:type="dxa"/>
            <w:gridSpan w:val="2"/>
            <w:tcMar>
              <w:top w:w="0" w:type="dxa"/>
              <w:left w:w="108" w:type="dxa"/>
              <w:bottom w:w="0" w:type="dxa"/>
              <w:right w:w="108" w:type="dxa"/>
            </w:tcMar>
            <w:hideMark/>
          </w:tcPr>
          <w:p w:rsidR="00E01219" w:rsidRPr="00E01219" w:rsidRDefault="00E01219" w:rsidP="00E01219">
            <w:pPr>
              <w:spacing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Virginie</w:t>
            </w:r>
          </w:p>
          <w:p w:rsidR="00E01219" w:rsidRPr="00E01219" w:rsidRDefault="00E01219" w:rsidP="00E01219">
            <w:pPr>
              <w:spacing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Washington</w:t>
            </w:r>
          </w:p>
          <w:p w:rsidR="00E01219" w:rsidRPr="00E01219" w:rsidRDefault="00E01219" w:rsidP="00E01219">
            <w:pPr>
              <w:spacing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Wyoming</w:t>
            </w:r>
          </w:p>
        </w:tc>
      </w:tr>
      <w:tr w:rsidR="00E01219" w:rsidRPr="00E01219" w:rsidTr="00E01219">
        <w:tc>
          <w:tcPr>
            <w:tcW w:w="9350" w:type="dxa"/>
            <w:gridSpan w:val="7"/>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 Les plans d'état dans ces états s'appliquent uniquement aux employés du secteur public.</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z w:val="20"/>
                <w:szCs w:val="20"/>
                <w:lang w:eastAsia="en-CA"/>
              </w:rPr>
              <w:t>Dans ces États, les employeurs du secteur privé sont soumis à la juridiction de USOL - OSHA.</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z w:val="20"/>
                <w:szCs w:val="20"/>
                <w:lang w:eastAsia="en-CA"/>
              </w:rPr>
              <w:t>Tous les autres régimes d'État s'appliquent aux employeurs des secteurs public et privé.</w:t>
            </w:r>
          </w:p>
        </w:tc>
      </w:tr>
      <w:tr w:rsidR="00E01219" w:rsidRPr="00E01219" w:rsidTr="00E01219">
        <w:tc>
          <w:tcPr>
            <w:tcW w:w="9350" w:type="dxa"/>
            <w:gridSpan w:val="7"/>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Chlorure de sodium (7647-14-5) - États-Unis Texas - Niveaux de dépistage des effets - À court et à long terme</w:t>
            </w:r>
          </w:p>
        </w:tc>
      </w:tr>
      <w:tr w:rsidR="00E01219" w:rsidRPr="00E01219" w:rsidTr="00E01219">
        <w:tc>
          <w:tcPr>
            <w:tcW w:w="9350" w:type="dxa"/>
            <w:gridSpan w:val="7"/>
            <w:shd w:val="clear" w:color="auto" w:fill="C5E0B3"/>
            <w:tcMar>
              <w:top w:w="0" w:type="dxa"/>
              <w:left w:w="108" w:type="dxa"/>
              <w:bottom w:w="0" w:type="dxa"/>
              <w:right w:w="108" w:type="dxa"/>
            </w:tcMar>
            <w:hideMark/>
          </w:tcPr>
          <w:p w:rsidR="00E01219" w:rsidRPr="00E01219" w:rsidRDefault="00E01219" w:rsidP="00E01219">
            <w:pPr>
              <w:spacing w:before="100" w:after="0" w:line="230" w:lineRule="atLeast"/>
              <w:rPr>
                <w:rFonts w:ascii="Times New Roman" w:eastAsia="Times New Roman" w:hAnsi="Times New Roman" w:cs="Times New Roman"/>
                <w:sz w:val="20"/>
                <w:szCs w:val="20"/>
                <w:lang w:eastAsia="en-CA"/>
              </w:rPr>
            </w:pPr>
            <w:r w:rsidRPr="00E01219">
              <w:rPr>
                <w:rFonts w:ascii="Calibri Light" w:eastAsia="Times New Roman" w:hAnsi="Calibri Light" w:cs="Times New Roman"/>
                <w:b/>
                <w:bCs/>
                <w:sz w:val="20"/>
                <w:szCs w:val="20"/>
                <w:lang w:eastAsia="en-CA"/>
              </w:rPr>
              <w:t>SECTION 16. AUTRES INFORMATIONS</w:t>
            </w:r>
          </w:p>
        </w:tc>
      </w:tr>
      <w:tr w:rsidR="00E01219" w:rsidRPr="00E01219" w:rsidTr="00E01219">
        <w:tc>
          <w:tcPr>
            <w:tcW w:w="2135" w:type="dxa"/>
            <w:gridSpan w:val="2"/>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Danger pour la santé NFPA</w:t>
            </w:r>
          </w:p>
        </w:tc>
        <w:tc>
          <w:tcPr>
            <w:tcW w:w="5376"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1 - L'exposition peut provoquer une irritation mais seulement une blessure résiduelle mineure même si aucun traitement n'est donné.</w:t>
            </w:r>
          </w:p>
        </w:tc>
        <w:tc>
          <w:tcPr>
            <w:tcW w:w="1839" w:type="dxa"/>
            <w:vMerge w:val="restart"/>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14:anchorId="643AA0CE">
                  <wp:extent cx="1030605" cy="10306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pic:spPr>
                      </pic:pic>
                    </a:graphicData>
                  </a:graphic>
                </wp:inline>
              </w:drawing>
            </w:r>
          </w:p>
        </w:tc>
      </w:tr>
      <w:tr w:rsidR="00E01219" w:rsidRPr="00E01219" w:rsidTr="00E01219">
        <w:tc>
          <w:tcPr>
            <w:tcW w:w="2135" w:type="dxa"/>
            <w:gridSpan w:val="2"/>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Danger d'incendie NFPA</w:t>
            </w:r>
          </w:p>
        </w:tc>
        <w:tc>
          <w:tcPr>
            <w:tcW w:w="5376"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0 - Matériaux qui ne brûleront pas.</w:t>
            </w:r>
          </w:p>
        </w:tc>
        <w:tc>
          <w:tcPr>
            <w:tcW w:w="0" w:type="auto"/>
            <w:vMerge/>
            <w:vAlign w:val="center"/>
            <w:hideMark/>
          </w:tcPr>
          <w:p w:rsidR="00E01219" w:rsidRPr="00E01219" w:rsidRDefault="00E01219" w:rsidP="00E01219">
            <w:pPr>
              <w:spacing w:after="0" w:line="240" w:lineRule="auto"/>
              <w:rPr>
                <w:rFonts w:ascii="Times New Roman" w:eastAsia="Times New Roman" w:hAnsi="Times New Roman" w:cs="Times New Roman"/>
                <w:sz w:val="24"/>
                <w:szCs w:val="24"/>
                <w:lang w:eastAsia="en-CA"/>
              </w:rPr>
            </w:pPr>
          </w:p>
        </w:tc>
      </w:tr>
      <w:tr w:rsidR="00E01219" w:rsidRPr="00E01219" w:rsidTr="00E01219">
        <w:trPr>
          <w:trHeight w:val="693"/>
        </w:trPr>
        <w:tc>
          <w:tcPr>
            <w:tcW w:w="2135" w:type="dxa"/>
            <w:gridSpan w:val="2"/>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Réactivité NFPA</w:t>
            </w:r>
          </w:p>
        </w:tc>
        <w:tc>
          <w:tcPr>
            <w:tcW w:w="5376" w:type="dxa"/>
            <w:gridSpan w:val="4"/>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0 - Normalement stable, même dans des conditions d'exposition au feu, et ne réagit pas avec l'eau.</w:t>
            </w:r>
          </w:p>
        </w:tc>
        <w:tc>
          <w:tcPr>
            <w:tcW w:w="0" w:type="auto"/>
            <w:vMerge/>
            <w:vAlign w:val="center"/>
            <w:hideMark/>
          </w:tcPr>
          <w:p w:rsidR="00E01219" w:rsidRPr="00E01219" w:rsidRDefault="00E01219" w:rsidP="00E01219">
            <w:pPr>
              <w:spacing w:after="0" w:line="240" w:lineRule="auto"/>
              <w:rPr>
                <w:rFonts w:ascii="Times New Roman" w:eastAsia="Times New Roman" w:hAnsi="Times New Roman" w:cs="Times New Roman"/>
                <w:sz w:val="24"/>
                <w:szCs w:val="24"/>
                <w:lang w:eastAsia="en-CA"/>
              </w:rPr>
            </w:pPr>
          </w:p>
        </w:tc>
      </w:tr>
      <w:tr w:rsidR="00E01219" w:rsidRPr="00E01219" w:rsidTr="00E01219">
        <w:tc>
          <w:tcPr>
            <w:tcW w:w="2135" w:type="dxa"/>
            <w:gridSpan w:val="2"/>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Date de la dernière révision</w:t>
            </w:r>
          </w:p>
        </w:tc>
        <w:tc>
          <w:tcPr>
            <w:tcW w:w="7215" w:type="dxa"/>
            <w:gridSpan w:val="5"/>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Avril</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sz w:val="20"/>
                <w:szCs w:val="20"/>
                <w:lang w:eastAsia="en-CA"/>
              </w:rPr>
              <w:t>2018</w:t>
            </w:r>
          </w:p>
        </w:tc>
      </w:tr>
      <w:tr w:rsidR="00E01219" w:rsidRPr="00E01219" w:rsidTr="00E01219">
        <w:tc>
          <w:tcPr>
            <w:tcW w:w="2135" w:type="dxa"/>
            <w:gridSpan w:val="2"/>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Preparé par</w:t>
            </w:r>
          </w:p>
        </w:tc>
        <w:tc>
          <w:tcPr>
            <w:tcW w:w="7215" w:type="dxa"/>
            <w:gridSpan w:val="5"/>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NSC Minerals Ltd</w:t>
            </w:r>
          </w:p>
        </w:tc>
      </w:tr>
      <w:tr w:rsidR="00E01219" w:rsidRPr="00E01219" w:rsidTr="00E01219">
        <w:tc>
          <w:tcPr>
            <w:tcW w:w="2135" w:type="dxa"/>
            <w:gridSpan w:val="2"/>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b/>
                <w:bCs/>
                <w:sz w:val="20"/>
                <w:szCs w:val="20"/>
                <w:lang w:eastAsia="en-CA"/>
              </w:rPr>
              <w:t> </w:t>
            </w:r>
          </w:p>
        </w:tc>
        <w:tc>
          <w:tcPr>
            <w:tcW w:w="7215" w:type="dxa"/>
            <w:gridSpan w:val="5"/>
            <w:tcMar>
              <w:top w:w="0" w:type="dxa"/>
              <w:left w:w="108" w:type="dxa"/>
              <w:bottom w:w="0" w:type="dxa"/>
              <w:right w:w="108" w:type="dxa"/>
            </w:tcMar>
            <w:hideMark/>
          </w:tcPr>
          <w:p w:rsidR="00E01219" w:rsidRPr="00E01219" w:rsidRDefault="00E01219" w:rsidP="00E01219">
            <w:pPr>
              <w:spacing w:before="100" w:after="0" w:line="240" w:lineRule="auto"/>
              <w:rPr>
                <w:rFonts w:ascii="Times New Roman" w:eastAsia="Times New Roman" w:hAnsi="Times New Roman" w:cs="Times New Roman"/>
                <w:sz w:val="24"/>
                <w:szCs w:val="24"/>
                <w:lang w:eastAsia="en-CA"/>
              </w:rPr>
            </w:pPr>
            <w:r w:rsidRPr="00E01219">
              <w:rPr>
                <w:rFonts w:ascii="Calibri Light" w:eastAsia="Times New Roman" w:hAnsi="Calibri Light" w:cs="Times New Roman"/>
                <w:sz w:val="20"/>
                <w:szCs w:val="20"/>
                <w:lang w:eastAsia="en-CA"/>
              </w:rPr>
              <w:t> </w:t>
            </w:r>
          </w:p>
        </w:tc>
      </w:tr>
      <w:tr w:rsidR="00E01219" w:rsidRPr="00E01219" w:rsidTr="00E01219">
        <w:tc>
          <w:tcPr>
            <w:tcW w:w="9350" w:type="dxa"/>
            <w:gridSpan w:val="7"/>
            <w:tcMar>
              <w:top w:w="0" w:type="dxa"/>
              <w:left w:w="108" w:type="dxa"/>
              <w:bottom w:w="0" w:type="dxa"/>
              <w:right w:w="108" w:type="dxa"/>
            </w:tcMar>
            <w:hideMark/>
          </w:tcPr>
          <w:p w:rsidR="00E01219" w:rsidRPr="00E01219" w:rsidRDefault="00E01219" w:rsidP="00E01219">
            <w:pPr>
              <w:spacing w:before="100" w:after="0" w:line="120" w:lineRule="auto"/>
              <w:jc w:val="center"/>
              <w:rPr>
                <w:rFonts w:ascii="Times New Roman" w:eastAsia="Times New Roman" w:hAnsi="Times New Roman" w:cs="Times New Roman"/>
                <w:sz w:val="24"/>
                <w:szCs w:val="24"/>
                <w:lang w:eastAsia="en-CA"/>
              </w:rPr>
            </w:pPr>
            <w:r w:rsidRPr="00E01219">
              <w:rPr>
                <w:rFonts w:ascii="Calibri Light" w:eastAsia="Times New Roman" w:hAnsi="Calibri Light" w:cs="Times New Roman"/>
                <w:i/>
                <w:iCs/>
                <w:sz w:val="16"/>
                <w:szCs w:val="16"/>
                <w:lang w:eastAsia="en-CA"/>
              </w:rPr>
              <w:t>Les données contenues dans ce document sont censées être exactes et fiables, mais aucune garantie expresse ou implicite n'est faite en ce qui concerne l'exactitude de ces données ou sa durabilité pour une situation donnée.</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i/>
                <w:iCs/>
                <w:sz w:val="16"/>
                <w:szCs w:val="16"/>
                <w:lang w:eastAsia="en-CA"/>
              </w:rPr>
              <w:t>Ces données concernent uniquement le produit spécifique décrit et non un tel produit en combinaison avec un autre produit.</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i/>
                <w:iCs/>
                <w:sz w:val="16"/>
                <w:szCs w:val="16"/>
                <w:lang w:eastAsia="en-CA"/>
              </w:rPr>
              <w:t>Nous déclinons toute responsabilité pour toute mesure prise ou abandonnée sur la fiabilité de ces données.</w:t>
            </w:r>
            <w:r w:rsidRPr="00E01219">
              <w:rPr>
                <w:rFonts w:ascii="Times New Roman" w:eastAsia="Times New Roman" w:hAnsi="Times New Roman" w:cs="Times New Roman"/>
                <w:sz w:val="24"/>
                <w:szCs w:val="24"/>
                <w:lang w:eastAsia="en-CA"/>
              </w:rPr>
              <w:t> </w:t>
            </w:r>
            <w:r w:rsidRPr="00E01219">
              <w:rPr>
                <w:rFonts w:ascii="Calibri Light" w:eastAsia="Times New Roman" w:hAnsi="Calibri Light" w:cs="Times New Roman"/>
                <w:i/>
                <w:iCs/>
                <w:sz w:val="16"/>
                <w:szCs w:val="16"/>
                <w:lang w:eastAsia="en-CA"/>
              </w:rPr>
              <w:t>Les utilisateurs devraient faire leur propre enquête pour déterminer la pertinence de l'information pour les fins particulières.</w:t>
            </w:r>
          </w:p>
        </w:tc>
      </w:tr>
    </w:tbl>
    <w:p w:rsidR="00FF7A60" w:rsidRDefault="00FF7A60"/>
    <w:sectPr w:rsidR="00FF7A6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219" w:rsidRDefault="00E01219" w:rsidP="00E01219">
      <w:pPr>
        <w:spacing w:after="0" w:line="240" w:lineRule="auto"/>
      </w:pPr>
      <w:r>
        <w:separator/>
      </w:r>
    </w:p>
  </w:endnote>
  <w:endnote w:type="continuationSeparator" w:id="0">
    <w:p w:rsidR="00E01219" w:rsidRDefault="00E01219" w:rsidP="00E0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219" w:rsidRPr="00E01219" w:rsidRDefault="00E01219">
    <w:pPr>
      <w:pStyle w:val="Footer"/>
      <w:rPr>
        <w:b/>
        <w:bCs/>
        <w:sz w:val="18"/>
      </w:rPr>
    </w:pPr>
    <w:r w:rsidRPr="00E01219">
      <w:rPr>
        <w:sz w:val="18"/>
      </w:rPr>
      <w:t>Francais</w:t>
    </w:r>
    <w:r w:rsidRPr="00E01219">
      <w:rPr>
        <w:sz w:val="18"/>
      </w:rPr>
      <w:tab/>
    </w:r>
    <w:r w:rsidRPr="00E01219">
      <w:rPr>
        <w:sz w:val="18"/>
      </w:rPr>
      <w:tab/>
      <w:t xml:space="preserve">Page </w:t>
    </w:r>
    <w:r w:rsidRPr="00E01219">
      <w:rPr>
        <w:b/>
        <w:bCs/>
        <w:sz w:val="18"/>
      </w:rPr>
      <w:fldChar w:fldCharType="begin"/>
    </w:r>
    <w:r w:rsidRPr="00E01219">
      <w:rPr>
        <w:b/>
        <w:bCs/>
        <w:sz w:val="18"/>
      </w:rPr>
      <w:instrText xml:space="preserve"> PAGE  \* Arabic  \* MERGEFORMAT </w:instrText>
    </w:r>
    <w:r w:rsidRPr="00E01219">
      <w:rPr>
        <w:b/>
        <w:bCs/>
        <w:sz w:val="18"/>
      </w:rPr>
      <w:fldChar w:fldCharType="separate"/>
    </w:r>
    <w:r w:rsidR="00E200DB">
      <w:rPr>
        <w:b/>
        <w:bCs/>
        <w:noProof/>
        <w:sz w:val="18"/>
      </w:rPr>
      <w:t>2</w:t>
    </w:r>
    <w:r w:rsidRPr="00E01219">
      <w:rPr>
        <w:b/>
        <w:bCs/>
        <w:sz w:val="18"/>
      </w:rPr>
      <w:fldChar w:fldCharType="end"/>
    </w:r>
    <w:r w:rsidRPr="00E01219">
      <w:rPr>
        <w:sz w:val="18"/>
      </w:rPr>
      <w:t xml:space="preserve"> of </w:t>
    </w:r>
    <w:r w:rsidRPr="00E01219">
      <w:rPr>
        <w:b/>
        <w:bCs/>
        <w:sz w:val="18"/>
      </w:rPr>
      <w:fldChar w:fldCharType="begin"/>
    </w:r>
    <w:r w:rsidRPr="00E01219">
      <w:rPr>
        <w:b/>
        <w:bCs/>
        <w:sz w:val="18"/>
      </w:rPr>
      <w:instrText xml:space="preserve"> NUMPAGES  \* Arabic  \* MERGEFORMAT </w:instrText>
    </w:r>
    <w:r w:rsidRPr="00E01219">
      <w:rPr>
        <w:b/>
        <w:bCs/>
        <w:sz w:val="18"/>
      </w:rPr>
      <w:fldChar w:fldCharType="separate"/>
    </w:r>
    <w:r w:rsidR="00E200DB">
      <w:rPr>
        <w:b/>
        <w:bCs/>
        <w:noProof/>
        <w:sz w:val="18"/>
      </w:rPr>
      <w:t>7</w:t>
    </w:r>
    <w:r w:rsidRPr="00E01219">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219" w:rsidRDefault="00E01219" w:rsidP="00E01219">
      <w:pPr>
        <w:spacing w:after="0" w:line="240" w:lineRule="auto"/>
      </w:pPr>
      <w:r>
        <w:separator/>
      </w:r>
    </w:p>
  </w:footnote>
  <w:footnote w:type="continuationSeparator" w:id="0">
    <w:p w:rsidR="00E01219" w:rsidRDefault="00E01219" w:rsidP="00E012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19"/>
    <w:rsid w:val="00E01219"/>
    <w:rsid w:val="00E200DB"/>
    <w:rsid w:val="00FF7A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EFE16B0"/>
  <w15:chartTrackingRefBased/>
  <w15:docId w15:val="{D4C5D566-31C7-40E6-A3A6-6A9C0F82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121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translate">
    <w:name w:val="notranslate"/>
    <w:basedOn w:val="DefaultParagraphFont"/>
    <w:rsid w:val="00E01219"/>
  </w:style>
  <w:style w:type="character" w:styleId="Hyperlink">
    <w:name w:val="Hyperlink"/>
    <w:basedOn w:val="DefaultParagraphFont"/>
    <w:uiPriority w:val="99"/>
    <w:semiHidden/>
    <w:unhideWhenUsed/>
    <w:rsid w:val="00E01219"/>
    <w:rPr>
      <w:color w:val="0000FF"/>
      <w:u w:val="single"/>
    </w:rPr>
  </w:style>
  <w:style w:type="paragraph" w:styleId="Header">
    <w:name w:val="header"/>
    <w:basedOn w:val="Normal"/>
    <w:link w:val="HeaderChar"/>
    <w:uiPriority w:val="99"/>
    <w:unhideWhenUsed/>
    <w:rsid w:val="00E0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219"/>
  </w:style>
  <w:style w:type="paragraph" w:styleId="Footer">
    <w:name w:val="footer"/>
    <w:basedOn w:val="Normal"/>
    <w:link w:val="FooterChar"/>
    <w:uiPriority w:val="99"/>
    <w:unhideWhenUsed/>
    <w:rsid w:val="00E0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0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c@nscmineral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ranslate.google.com/translate?hl=en&amp;prev=_t&amp;sl=en&amp;tl=fr&amp;u=http://www.nscmineral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2307</Words>
  <Characters>13153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Markson</dc:creator>
  <cp:keywords/>
  <dc:description/>
  <cp:lastModifiedBy>Whitney Markson</cp:lastModifiedBy>
  <cp:revision>2</cp:revision>
  <dcterms:created xsi:type="dcterms:W3CDTF">2018-04-23T17:15:00Z</dcterms:created>
  <dcterms:modified xsi:type="dcterms:W3CDTF">2018-04-23T17:26:00Z</dcterms:modified>
</cp:coreProperties>
</file>